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r w:rsidRPr="00686CC6">
        <w:t>Viral Growth</w:t>
      </w:r>
    </w:p>
    <w:p w:rsidR="00530A99" w:rsidRPr="00686CC6" w:rsidRDefault="00530A99" w:rsidP="0039575E">
      <w:pPr>
        <w:jc w:val="center"/>
      </w:pPr>
      <w:r w:rsidRPr="00686CC6">
        <w:t>Student</w:t>
      </w:r>
    </w:p>
    <w:p w:rsidR="00530A99" w:rsidRPr="00686CC6" w:rsidRDefault="00530A99" w:rsidP="0039575E">
      <w:pPr>
        <w:jc w:val="center"/>
      </w:pPr>
      <w:r w:rsidRPr="00686CC6">
        <w:t>Institution of affiliation</w:t>
      </w: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Pr>
        <w:jc w:val="center"/>
      </w:pPr>
    </w:p>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 w:rsidR="00530A99" w:rsidRPr="00686CC6" w:rsidRDefault="00530A99" w:rsidP="0039575E">
      <w:pPr>
        <w:jc w:val="center"/>
      </w:pPr>
      <w:r w:rsidRPr="00686CC6">
        <w:lastRenderedPageBreak/>
        <w:t>Viral Growth</w:t>
      </w:r>
    </w:p>
    <w:p w:rsidR="001E2CA6" w:rsidRPr="00686CC6" w:rsidRDefault="00530A99" w:rsidP="0039575E">
      <w:pPr>
        <w:jc w:val="center"/>
        <w:rPr>
          <w:b/>
        </w:rPr>
      </w:pPr>
      <w:r w:rsidRPr="00686CC6">
        <w:rPr>
          <w:b/>
        </w:rPr>
        <w:t>Introduction</w:t>
      </w:r>
    </w:p>
    <w:p w:rsidR="0042129A" w:rsidRPr="00686CC6" w:rsidRDefault="0042129A" w:rsidP="0039575E">
      <w:pPr>
        <w:ind w:firstLine="720"/>
      </w:pPr>
      <w:r w:rsidRPr="00686CC6">
        <w:t xml:space="preserve">A virus is an infectious agent whose replication occurs inside a living cell in an organism. They can infect all form of organisms from plants to animals to microorganism including Achaea and bacteria. The first virus to be discovered was the mosaic virus that infects tobacco in 1898 by </w:t>
      </w:r>
      <w:proofErr w:type="spellStart"/>
      <w:r w:rsidRPr="00686CC6">
        <w:t>Martinus</w:t>
      </w:r>
      <w:proofErr w:type="spellEnd"/>
      <w:r w:rsidRPr="00686CC6">
        <w:t xml:space="preserve"> </w:t>
      </w:r>
      <w:proofErr w:type="spellStart"/>
      <w:r w:rsidRPr="00686CC6">
        <w:t>Berjerrinck</w:t>
      </w:r>
      <w:proofErr w:type="spellEnd"/>
      <w:r w:rsidRPr="00686CC6">
        <w:t xml:space="preserve">. Dmitri </w:t>
      </w:r>
      <w:proofErr w:type="spellStart"/>
      <w:r w:rsidRPr="00686CC6">
        <w:t>Ivanovsky</w:t>
      </w:r>
      <w:proofErr w:type="spellEnd"/>
      <w:r w:rsidRPr="00686CC6">
        <w:t xml:space="preserve"> in his 1892 article only talked of a non-bacterial pathogen that infected this plant. To date, over five thousand type of virus</w:t>
      </w:r>
      <w:r w:rsidR="00376DFE" w:rsidRPr="00686CC6">
        <w:t>es have</w:t>
      </w:r>
      <w:r w:rsidRPr="00686CC6">
        <w:t xml:space="preserve"> been described in the biological literature. Virology which is the study of viruses is a subspecialty in the medical field of microbiology (</w:t>
      </w:r>
      <w:proofErr w:type="spellStart"/>
      <w:r w:rsidRPr="00686CC6">
        <w:t>Neri</w:t>
      </w:r>
      <w:proofErr w:type="spellEnd"/>
      <w:r w:rsidRPr="00686CC6">
        <w:t xml:space="preserve"> et al., 2013). Outside infected cells, viruses exist as independent cells called </w:t>
      </w:r>
      <w:proofErr w:type="spellStart"/>
      <w:r w:rsidRPr="00686CC6">
        <w:t>virions</w:t>
      </w:r>
      <w:proofErr w:type="spellEnd"/>
      <w:r w:rsidRPr="00686CC6">
        <w:t>. They are compose</w:t>
      </w:r>
      <w:r w:rsidR="00376DFE" w:rsidRPr="00686CC6">
        <w:t>d of two to three parts that is</w:t>
      </w:r>
      <w:r w:rsidRPr="00686CC6">
        <w:t xml:space="preserve"> the genetic material (RNA or DNA), the capsid (a protein coat) and the viral envelope (surrounding lipid in some types of viruses).</w:t>
      </w:r>
    </w:p>
    <w:p w:rsidR="00DE522A" w:rsidRPr="00686CC6" w:rsidRDefault="003643FD" w:rsidP="0039575E">
      <w:pPr>
        <w:jc w:val="center"/>
        <w:rPr>
          <w:b/>
        </w:rPr>
      </w:pPr>
      <w:r w:rsidRPr="00686CC6">
        <w:rPr>
          <w:b/>
        </w:rPr>
        <w:t xml:space="preserve">Part 1: </w:t>
      </w:r>
      <w:r w:rsidR="007A537B" w:rsidRPr="00686CC6">
        <w:rPr>
          <w:b/>
        </w:rPr>
        <w:t>The human immunodeficiency virus (HIV)</w:t>
      </w:r>
      <w:r w:rsidR="00DE522A" w:rsidRPr="00686CC6">
        <w:rPr>
          <w:b/>
        </w:rPr>
        <w:t>.</w:t>
      </w:r>
    </w:p>
    <w:p w:rsidR="0042129A" w:rsidRPr="00686CC6" w:rsidRDefault="0042129A" w:rsidP="0039575E">
      <w:pPr>
        <w:ind w:firstLine="720"/>
      </w:pPr>
      <w:r w:rsidRPr="00686CC6">
        <w:t xml:space="preserve">This is a retrovirus meaning that it uses its reverse transcriptase enzyme to generate DNA from its RNA nuclear genome. The virus thus replicates by reverse engineering its DNA. It belongs to </w:t>
      </w:r>
      <w:proofErr w:type="spellStart"/>
      <w:r w:rsidRPr="00686CC6">
        <w:t>Retroviridae</w:t>
      </w:r>
      <w:proofErr w:type="spellEnd"/>
      <w:r w:rsidRPr="00686CC6">
        <w:t xml:space="preserve"> family. This is an important class of viruses as its member </w:t>
      </w:r>
      <w:proofErr w:type="gramStart"/>
      <w:r w:rsidRPr="00686CC6">
        <w:t>cause</w:t>
      </w:r>
      <w:proofErr w:type="gramEnd"/>
      <w:r w:rsidRPr="00686CC6">
        <w:t xml:space="preserve"> important diseases in humans like AIDS, neurological diseases, and cancer. HIV is currently classified as a complex retrovirus. Once the virus infects a person, the viral DNA gets incorporated into the host cell chromosomal DNA (a property exploited in gene vector therapy).  HIV is currently global epidemic diseases that have killed more than forty million people in the past three decades (Nash, </w:t>
      </w:r>
      <w:proofErr w:type="spellStart"/>
      <w:r w:rsidRPr="00686CC6">
        <w:t>Dalziel</w:t>
      </w:r>
      <w:proofErr w:type="spellEnd"/>
      <w:r w:rsidRPr="00686CC6">
        <w:t xml:space="preserve"> &amp; Fitzgerald, 2015). It is still the leading killer in some sub-Saharan African nations. Without treatment, depending on the serotype of HIV, the average survival rate is 9 to 11 years.</w:t>
      </w:r>
    </w:p>
    <w:p w:rsidR="00202BAA" w:rsidRPr="00686CC6" w:rsidRDefault="00202BAA" w:rsidP="0039575E">
      <w:pPr>
        <w:jc w:val="center"/>
        <w:rPr>
          <w:b/>
        </w:rPr>
      </w:pPr>
      <w:r w:rsidRPr="00686CC6">
        <w:rPr>
          <w:b/>
        </w:rPr>
        <w:lastRenderedPageBreak/>
        <w:t>HIV growth rate in the body</w:t>
      </w:r>
    </w:p>
    <w:p w:rsidR="00C24DB6" w:rsidRPr="00686CC6" w:rsidRDefault="00C24DB6" w:rsidP="0039575E">
      <w:pPr>
        <w:ind w:firstLine="720"/>
      </w:pPr>
      <w:r w:rsidRPr="00686CC6">
        <w:t xml:space="preserve">During the initial primary infection stage, the number of HIV particles in host plasma rises rapidly before reaching a peak and then decline until it attains a set point level that is the quasi-steady state. The virus has a median doubling time of 0.56 days and an interquartile range of between 0.56 to 0.91 days. The virus has a median reproductive ratio (Ro) of 8.0 and an inter-quarter range that lies between 4.9 and 11. A reproductive ratio is the measure of the probability of the virus establishing an infection. It measures the number of healthy cells an HIV infected cell will infect when there is no limitation of target cells. After the peak level, the virus has an average medium decay rate of 0.60 days. This corresponds to a half-life of 1.2 days. Viral load is the terminology commonly used to describe the amount of HIV in one’s blood. The higher the viral load, the higher the amount of HIV in one’s blood and the faster ones CD4 count will fall. This is an important predictor of one getting ill due to the virus. The median peak viral load for HIV is 5.8 Log (10) HIV RNA copies per milliliter (Nash, </w:t>
      </w:r>
      <w:proofErr w:type="spellStart"/>
      <w:r w:rsidRPr="00686CC6">
        <w:t>Dalziel</w:t>
      </w:r>
      <w:proofErr w:type="spellEnd"/>
      <w:r w:rsidRPr="00686CC6">
        <w:t xml:space="preserve"> &amp; Fitzgerald, 2015). This is achieved after 14 days of viral replication. The growth of rate depends on the death of infected cells, and the availability of target cells at a constant rate due to the viral </w:t>
      </w:r>
      <w:proofErr w:type="spellStart"/>
      <w:r w:rsidRPr="00686CC6">
        <w:t>cytopathic</w:t>
      </w:r>
      <w:proofErr w:type="spellEnd"/>
      <w:r w:rsidRPr="00686CC6">
        <w:t xml:space="preserve"> effects. This represents the cell-limited model of HIV replication rate.</w:t>
      </w:r>
    </w:p>
    <w:p w:rsidR="00C24DB6" w:rsidRPr="00686CC6" w:rsidRDefault="00C24DB6" w:rsidP="0039575E">
      <w:pPr>
        <w:ind w:firstLine="720"/>
      </w:pPr>
      <w:r w:rsidRPr="00686CC6">
        <w:t>The growth rate of the HIV is represented by the following exponential growth function (Scott, 2015):</w:t>
      </w:r>
    </w:p>
    <w:p w:rsidR="00202BAA" w:rsidRPr="00686CC6" w:rsidRDefault="00CA153D" w:rsidP="0039575E">
      <w:pPr>
        <w:ind w:firstLine="720"/>
      </w:pPr>
      <w:r w:rsidRPr="00686CC6">
        <w:rPr>
          <w:noProof/>
        </w:rPr>
        <w:drawing>
          <wp:inline distT="0" distB="0" distL="0" distR="0">
            <wp:extent cx="2609647" cy="1881957"/>
            <wp:effectExtent l="0" t="0" r="635" b="4445"/>
            <wp:docPr id="1" name="Picture 1" descr="C:\Users\Jared\Desktop\IMG_20171216_1259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red\Desktop\IMG_20171216_125928.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16846" cy="1887148"/>
                    </a:xfrm>
                    <a:prstGeom prst="rect">
                      <a:avLst/>
                    </a:prstGeom>
                    <a:noFill/>
                    <a:ln>
                      <a:noFill/>
                    </a:ln>
                  </pic:spPr>
                </pic:pic>
              </a:graphicData>
            </a:graphic>
          </wp:inline>
        </w:drawing>
      </w:r>
    </w:p>
    <w:p w:rsidR="00C016A9" w:rsidRPr="00686CC6" w:rsidRDefault="00C016A9" w:rsidP="0039575E">
      <w:pPr>
        <w:ind w:firstLine="720"/>
      </w:pPr>
    </w:p>
    <w:p w:rsidR="00DE522A" w:rsidRPr="00686CC6" w:rsidRDefault="00CA153D" w:rsidP="0039575E">
      <w:pPr>
        <w:ind w:firstLine="720"/>
      </w:pPr>
      <w:r w:rsidRPr="00686CC6">
        <w:t xml:space="preserve">The </w:t>
      </w:r>
      <w:r w:rsidR="00DC58FF" w:rsidRPr="00686CC6">
        <w:t>following table</w:t>
      </w:r>
      <w:r w:rsidRPr="00686CC6">
        <w:t xml:space="preserve"> </w:t>
      </w:r>
      <w:r w:rsidR="00DC58FF" w:rsidRPr="00686CC6">
        <w:t>represents the</w:t>
      </w:r>
      <w:r w:rsidRPr="00686CC6">
        <w:t xml:space="preserve"> number of virus particles (</w:t>
      </w:r>
      <w:proofErr w:type="spellStart"/>
      <w:r w:rsidRPr="00686CC6">
        <w:t>virions</w:t>
      </w:r>
      <w:proofErr w:type="spellEnd"/>
      <w:r w:rsidRPr="00686CC6">
        <w:t xml:space="preserve">) that can grow inside </w:t>
      </w:r>
      <w:r w:rsidR="00DC58FF" w:rsidRPr="00686CC6">
        <w:t>one’s</w:t>
      </w:r>
      <w:r w:rsidRPr="00686CC6">
        <w:t xml:space="preserve"> body.</w:t>
      </w:r>
    </w:p>
    <w:tbl>
      <w:tblPr>
        <w:tblW w:w="0" w:type="auto"/>
        <w:tblInd w:w="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3780"/>
        <w:gridCol w:w="2400"/>
      </w:tblGrid>
      <w:tr w:rsidR="005D5AF2" w:rsidRPr="00686CC6" w:rsidTr="00DC58FF">
        <w:trPr>
          <w:trHeight w:val="255"/>
        </w:trPr>
        <w:tc>
          <w:tcPr>
            <w:tcW w:w="2100" w:type="dxa"/>
          </w:tcPr>
          <w:p w:rsidR="005D5AF2" w:rsidRPr="00686CC6" w:rsidRDefault="005D5AF2" w:rsidP="0039575E">
            <w:pPr>
              <w:ind w:firstLine="720"/>
            </w:pPr>
            <w:r w:rsidRPr="00686CC6">
              <w:t xml:space="preserve">Day </w:t>
            </w:r>
          </w:p>
        </w:tc>
        <w:tc>
          <w:tcPr>
            <w:tcW w:w="3780" w:type="dxa"/>
          </w:tcPr>
          <w:p w:rsidR="005D5AF2" w:rsidRPr="00686CC6" w:rsidRDefault="005D5AF2" w:rsidP="0039575E">
            <w:r w:rsidRPr="00686CC6">
              <w:t>Number of virus particles (Viral load)</w:t>
            </w:r>
          </w:p>
        </w:tc>
        <w:tc>
          <w:tcPr>
            <w:tcW w:w="2400" w:type="dxa"/>
            <w:vAlign w:val="center"/>
          </w:tcPr>
          <w:p w:rsidR="005D5AF2" w:rsidRPr="00686CC6" w:rsidRDefault="005D5AF2" w:rsidP="0039575E">
            <w:pPr>
              <w:rPr>
                <w:color w:val="000000"/>
              </w:rPr>
            </w:pPr>
            <w:r w:rsidRPr="00686CC6">
              <w:rPr>
                <w:color w:val="000000"/>
              </w:rPr>
              <w:t>Number of CD4 cells in the body</w:t>
            </w:r>
          </w:p>
        </w:tc>
      </w:tr>
      <w:tr w:rsidR="005D5AF2" w:rsidRPr="00686CC6" w:rsidTr="00DC58FF">
        <w:trPr>
          <w:trHeight w:val="165"/>
        </w:trPr>
        <w:tc>
          <w:tcPr>
            <w:tcW w:w="2100" w:type="dxa"/>
          </w:tcPr>
          <w:p w:rsidR="005D5AF2" w:rsidRPr="00686CC6" w:rsidRDefault="005D5AF2" w:rsidP="0039575E">
            <w:pPr>
              <w:ind w:firstLine="720"/>
            </w:pPr>
            <w:r w:rsidRPr="00686CC6">
              <w:t>0</w:t>
            </w:r>
          </w:p>
        </w:tc>
        <w:tc>
          <w:tcPr>
            <w:tcW w:w="3780" w:type="dxa"/>
          </w:tcPr>
          <w:p w:rsidR="005D5AF2" w:rsidRPr="00686CC6" w:rsidRDefault="005D5AF2" w:rsidP="0039575E">
            <w:pPr>
              <w:ind w:firstLine="720"/>
            </w:pPr>
            <w:r w:rsidRPr="00686CC6">
              <w:t>1 (undetectable)</w:t>
            </w:r>
          </w:p>
        </w:tc>
        <w:tc>
          <w:tcPr>
            <w:tcW w:w="2400" w:type="dxa"/>
            <w:vAlign w:val="center"/>
          </w:tcPr>
          <w:p w:rsidR="005D5AF2" w:rsidRPr="00686CC6" w:rsidRDefault="005D5AF2" w:rsidP="0039575E">
            <w:pPr>
              <w:jc w:val="right"/>
              <w:rPr>
                <w:color w:val="000000"/>
              </w:rPr>
            </w:pPr>
            <w:r w:rsidRPr="00686CC6">
              <w:rPr>
                <w:color w:val="000000"/>
              </w:rPr>
              <w:t>1200</w:t>
            </w:r>
          </w:p>
        </w:tc>
      </w:tr>
      <w:tr w:rsidR="005D5AF2" w:rsidRPr="00686CC6" w:rsidTr="00DC58FF">
        <w:trPr>
          <w:trHeight w:val="96"/>
        </w:trPr>
        <w:tc>
          <w:tcPr>
            <w:tcW w:w="2100" w:type="dxa"/>
          </w:tcPr>
          <w:p w:rsidR="005D5AF2" w:rsidRPr="00686CC6" w:rsidRDefault="005D5AF2" w:rsidP="0039575E">
            <w:pPr>
              <w:ind w:firstLine="720"/>
            </w:pPr>
            <w:r w:rsidRPr="00686CC6">
              <w:t>1</w:t>
            </w:r>
          </w:p>
        </w:tc>
        <w:tc>
          <w:tcPr>
            <w:tcW w:w="3780" w:type="dxa"/>
          </w:tcPr>
          <w:p w:rsidR="005D5AF2" w:rsidRPr="00686CC6" w:rsidRDefault="005D5AF2" w:rsidP="0039575E">
            <w:pPr>
              <w:ind w:firstLine="720"/>
            </w:pPr>
            <w:r w:rsidRPr="00686CC6">
              <w:t>50</w:t>
            </w:r>
          </w:p>
        </w:tc>
        <w:tc>
          <w:tcPr>
            <w:tcW w:w="2400" w:type="dxa"/>
            <w:vAlign w:val="center"/>
          </w:tcPr>
          <w:p w:rsidR="005D5AF2" w:rsidRPr="00686CC6" w:rsidRDefault="005D5AF2" w:rsidP="0039575E">
            <w:pPr>
              <w:jc w:val="right"/>
              <w:rPr>
                <w:color w:val="000000"/>
              </w:rPr>
            </w:pPr>
            <w:r w:rsidRPr="00686CC6">
              <w:rPr>
                <w:color w:val="000000"/>
              </w:rPr>
              <w:t>1700</w:t>
            </w:r>
          </w:p>
        </w:tc>
      </w:tr>
      <w:tr w:rsidR="005D5AF2" w:rsidRPr="00686CC6" w:rsidTr="00DC58FF">
        <w:trPr>
          <w:trHeight w:val="225"/>
        </w:trPr>
        <w:tc>
          <w:tcPr>
            <w:tcW w:w="2100" w:type="dxa"/>
          </w:tcPr>
          <w:p w:rsidR="005D5AF2" w:rsidRPr="00686CC6" w:rsidRDefault="005D5AF2" w:rsidP="0039575E">
            <w:pPr>
              <w:ind w:firstLine="720"/>
            </w:pPr>
            <w:r w:rsidRPr="00686CC6">
              <w:t>2</w:t>
            </w:r>
          </w:p>
        </w:tc>
        <w:tc>
          <w:tcPr>
            <w:tcW w:w="3780" w:type="dxa"/>
          </w:tcPr>
          <w:p w:rsidR="005D5AF2" w:rsidRPr="00686CC6" w:rsidRDefault="005D5AF2" w:rsidP="0039575E">
            <w:pPr>
              <w:ind w:firstLine="720"/>
            </w:pPr>
            <w:r w:rsidRPr="00686CC6">
              <w:t>100</w:t>
            </w:r>
          </w:p>
        </w:tc>
        <w:tc>
          <w:tcPr>
            <w:tcW w:w="2400" w:type="dxa"/>
            <w:vAlign w:val="center"/>
          </w:tcPr>
          <w:p w:rsidR="005D5AF2" w:rsidRPr="00686CC6" w:rsidRDefault="005D5AF2" w:rsidP="0039575E">
            <w:pPr>
              <w:jc w:val="right"/>
              <w:rPr>
                <w:color w:val="000000"/>
              </w:rPr>
            </w:pPr>
            <w:r w:rsidRPr="00686CC6">
              <w:rPr>
                <w:color w:val="000000"/>
              </w:rPr>
              <w:t>1420</w:t>
            </w:r>
          </w:p>
        </w:tc>
      </w:tr>
      <w:tr w:rsidR="005D5AF2" w:rsidRPr="00686CC6" w:rsidTr="00DC58FF">
        <w:trPr>
          <w:trHeight w:val="96"/>
        </w:trPr>
        <w:tc>
          <w:tcPr>
            <w:tcW w:w="2100" w:type="dxa"/>
          </w:tcPr>
          <w:p w:rsidR="005D5AF2" w:rsidRPr="00686CC6" w:rsidRDefault="005D5AF2" w:rsidP="0039575E">
            <w:pPr>
              <w:ind w:firstLine="720"/>
            </w:pPr>
            <w:r w:rsidRPr="00686CC6">
              <w:t>3</w:t>
            </w:r>
          </w:p>
        </w:tc>
        <w:tc>
          <w:tcPr>
            <w:tcW w:w="3780" w:type="dxa"/>
          </w:tcPr>
          <w:p w:rsidR="005D5AF2" w:rsidRPr="00686CC6" w:rsidRDefault="005D5AF2" w:rsidP="0039575E">
            <w:pPr>
              <w:ind w:firstLine="720"/>
            </w:pPr>
            <w:r w:rsidRPr="00686CC6">
              <w:t>250</w:t>
            </w:r>
          </w:p>
        </w:tc>
        <w:tc>
          <w:tcPr>
            <w:tcW w:w="2400" w:type="dxa"/>
            <w:vAlign w:val="center"/>
          </w:tcPr>
          <w:p w:rsidR="005D5AF2" w:rsidRPr="00686CC6" w:rsidRDefault="005D5AF2" w:rsidP="0039575E">
            <w:pPr>
              <w:jc w:val="right"/>
              <w:rPr>
                <w:color w:val="000000"/>
              </w:rPr>
            </w:pPr>
            <w:r w:rsidRPr="00686CC6">
              <w:rPr>
                <w:color w:val="000000"/>
              </w:rPr>
              <w:t>1300</w:t>
            </w:r>
          </w:p>
        </w:tc>
      </w:tr>
      <w:tr w:rsidR="005D5AF2" w:rsidRPr="00686CC6" w:rsidTr="00DC58FF">
        <w:trPr>
          <w:trHeight w:val="126"/>
        </w:trPr>
        <w:tc>
          <w:tcPr>
            <w:tcW w:w="2100" w:type="dxa"/>
          </w:tcPr>
          <w:p w:rsidR="005D5AF2" w:rsidRPr="00686CC6" w:rsidRDefault="005D5AF2" w:rsidP="0039575E">
            <w:pPr>
              <w:ind w:firstLine="720"/>
            </w:pPr>
            <w:r w:rsidRPr="00686CC6">
              <w:t>4</w:t>
            </w:r>
          </w:p>
        </w:tc>
        <w:tc>
          <w:tcPr>
            <w:tcW w:w="3780" w:type="dxa"/>
          </w:tcPr>
          <w:p w:rsidR="005D5AF2" w:rsidRPr="00686CC6" w:rsidRDefault="005D5AF2" w:rsidP="0039575E">
            <w:pPr>
              <w:ind w:firstLine="720"/>
            </w:pPr>
            <w:r w:rsidRPr="00686CC6">
              <w:t>800</w:t>
            </w:r>
          </w:p>
        </w:tc>
        <w:tc>
          <w:tcPr>
            <w:tcW w:w="2400" w:type="dxa"/>
            <w:vAlign w:val="center"/>
          </w:tcPr>
          <w:p w:rsidR="005D5AF2" w:rsidRPr="00686CC6" w:rsidRDefault="005D5AF2" w:rsidP="0039575E">
            <w:pPr>
              <w:jc w:val="right"/>
              <w:rPr>
                <w:color w:val="000000"/>
              </w:rPr>
            </w:pPr>
            <w:r w:rsidRPr="00686CC6">
              <w:rPr>
                <w:color w:val="000000"/>
              </w:rPr>
              <w:t>1240</w:t>
            </w:r>
          </w:p>
        </w:tc>
      </w:tr>
      <w:tr w:rsidR="005D5AF2" w:rsidRPr="00686CC6" w:rsidTr="00DC58FF">
        <w:trPr>
          <w:trHeight w:val="111"/>
        </w:trPr>
        <w:tc>
          <w:tcPr>
            <w:tcW w:w="2100" w:type="dxa"/>
          </w:tcPr>
          <w:p w:rsidR="005D5AF2" w:rsidRPr="00686CC6" w:rsidRDefault="005D5AF2" w:rsidP="0039575E">
            <w:pPr>
              <w:ind w:firstLine="720"/>
            </w:pPr>
            <w:r w:rsidRPr="00686CC6">
              <w:t>5</w:t>
            </w:r>
          </w:p>
        </w:tc>
        <w:tc>
          <w:tcPr>
            <w:tcW w:w="3780" w:type="dxa"/>
          </w:tcPr>
          <w:p w:rsidR="005D5AF2" w:rsidRPr="00686CC6" w:rsidRDefault="005D5AF2" w:rsidP="0039575E">
            <w:pPr>
              <w:ind w:firstLine="720"/>
            </w:pPr>
            <w:r w:rsidRPr="00686CC6">
              <w:t>1950</w:t>
            </w:r>
          </w:p>
        </w:tc>
        <w:tc>
          <w:tcPr>
            <w:tcW w:w="2400" w:type="dxa"/>
            <w:vAlign w:val="center"/>
          </w:tcPr>
          <w:p w:rsidR="005D5AF2" w:rsidRPr="00686CC6" w:rsidRDefault="005D5AF2" w:rsidP="0039575E">
            <w:pPr>
              <w:jc w:val="right"/>
              <w:rPr>
                <w:color w:val="000000"/>
              </w:rPr>
            </w:pPr>
            <w:r w:rsidRPr="00686CC6">
              <w:rPr>
                <w:color w:val="000000"/>
              </w:rPr>
              <w:t>1009</w:t>
            </w:r>
          </w:p>
        </w:tc>
      </w:tr>
      <w:tr w:rsidR="005D5AF2" w:rsidRPr="00686CC6" w:rsidTr="00DC58FF">
        <w:trPr>
          <w:trHeight w:val="150"/>
        </w:trPr>
        <w:tc>
          <w:tcPr>
            <w:tcW w:w="2100" w:type="dxa"/>
          </w:tcPr>
          <w:p w:rsidR="005D5AF2" w:rsidRPr="00686CC6" w:rsidRDefault="005D5AF2" w:rsidP="0039575E">
            <w:pPr>
              <w:ind w:firstLine="720"/>
            </w:pPr>
            <w:r w:rsidRPr="00686CC6">
              <w:t>6</w:t>
            </w:r>
          </w:p>
        </w:tc>
        <w:tc>
          <w:tcPr>
            <w:tcW w:w="3780" w:type="dxa"/>
          </w:tcPr>
          <w:p w:rsidR="005D5AF2" w:rsidRPr="00686CC6" w:rsidRDefault="005D5AF2" w:rsidP="0039575E">
            <w:pPr>
              <w:ind w:firstLine="720"/>
            </w:pPr>
            <w:r w:rsidRPr="00686CC6">
              <w:t>4980</w:t>
            </w:r>
          </w:p>
        </w:tc>
        <w:tc>
          <w:tcPr>
            <w:tcW w:w="2400" w:type="dxa"/>
            <w:vAlign w:val="center"/>
          </w:tcPr>
          <w:p w:rsidR="005D5AF2" w:rsidRPr="00686CC6" w:rsidRDefault="005D5AF2" w:rsidP="0039575E">
            <w:pPr>
              <w:jc w:val="right"/>
              <w:rPr>
                <w:color w:val="000000"/>
              </w:rPr>
            </w:pPr>
            <w:r w:rsidRPr="00686CC6">
              <w:rPr>
                <w:color w:val="000000"/>
              </w:rPr>
              <w:t>911</w:t>
            </w:r>
          </w:p>
        </w:tc>
      </w:tr>
      <w:tr w:rsidR="005D5AF2" w:rsidRPr="00686CC6" w:rsidTr="00DC58FF">
        <w:trPr>
          <w:trHeight w:val="126"/>
        </w:trPr>
        <w:tc>
          <w:tcPr>
            <w:tcW w:w="2100" w:type="dxa"/>
          </w:tcPr>
          <w:p w:rsidR="005D5AF2" w:rsidRPr="00686CC6" w:rsidRDefault="005D5AF2" w:rsidP="0039575E">
            <w:pPr>
              <w:ind w:firstLine="720"/>
            </w:pPr>
            <w:r w:rsidRPr="00686CC6">
              <w:t>7</w:t>
            </w:r>
          </w:p>
        </w:tc>
        <w:tc>
          <w:tcPr>
            <w:tcW w:w="3780" w:type="dxa"/>
          </w:tcPr>
          <w:p w:rsidR="005D5AF2" w:rsidRPr="00686CC6" w:rsidRDefault="005D5AF2" w:rsidP="0039575E">
            <w:pPr>
              <w:ind w:firstLine="720"/>
            </w:pPr>
            <w:r w:rsidRPr="00686CC6">
              <w:t>10000</w:t>
            </w:r>
          </w:p>
        </w:tc>
        <w:tc>
          <w:tcPr>
            <w:tcW w:w="2400" w:type="dxa"/>
            <w:vAlign w:val="center"/>
          </w:tcPr>
          <w:p w:rsidR="005D5AF2" w:rsidRPr="00686CC6" w:rsidRDefault="005D5AF2" w:rsidP="0039575E">
            <w:pPr>
              <w:jc w:val="right"/>
              <w:rPr>
                <w:color w:val="000000"/>
              </w:rPr>
            </w:pPr>
            <w:r w:rsidRPr="00686CC6">
              <w:rPr>
                <w:color w:val="000000"/>
              </w:rPr>
              <w:t>850</w:t>
            </w:r>
          </w:p>
        </w:tc>
      </w:tr>
      <w:tr w:rsidR="005D5AF2" w:rsidRPr="00686CC6" w:rsidTr="00DC58FF">
        <w:trPr>
          <w:trHeight w:val="165"/>
        </w:trPr>
        <w:tc>
          <w:tcPr>
            <w:tcW w:w="2100" w:type="dxa"/>
          </w:tcPr>
          <w:p w:rsidR="005D5AF2" w:rsidRPr="00686CC6" w:rsidRDefault="005D5AF2" w:rsidP="0039575E">
            <w:pPr>
              <w:ind w:firstLine="720"/>
            </w:pPr>
            <w:r w:rsidRPr="00686CC6">
              <w:t>8</w:t>
            </w:r>
          </w:p>
        </w:tc>
        <w:tc>
          <w:tcPr>
            <w:tcW w:w="3780" w:type="dxa"/>
          </w:tcPr>
          <w:p w:rsidR="005D5AF2" w:rsidRPr="00686CC6" w:rsidRDefault="005D5AF2" w:rsidP="0039575E">
            <w:pPr>
              <w:ind w:firstLine="720"/>
            </w:pPr>
            <w:r w:rsidRPr="00686CC6">
              <w:t>20000</w:t>
            </w:r>
          </w:p>
        </w:tc>
        <w:tc>
          <w:tcPr>
            <w:tcW w:w="2400" w:type="dxa"/>
            <w:vAlign w:val="center"/>
          </w:tcPr>
          <w:p w:rsidR="005D5AF2" w:rsidRPr="00686CC6" w:rsidRDefault="005D5AF2" w:rsidP="0039575E">
            <w:pPr>
              <w:jc w:val="right"/>
              <w:rPr>
                <w:color w:val="000000"/>
              </w:rPr>
            </w:pPr>
            <w:r w:rsidRPr="00686CC6">
              <w:rPr>
                <w:color w:val="000000"/>
              </w:rPr>
              <w:t>800</w:t>
            </w:r>
          </w:p>
        </w:tc>
      </w:tr>
      <w:tr w:rsidR="005D5AF2" w:rsidRPr="00686CC6" w:rsidTr="00DC58FF">
        <w:trPr>
          <w:trHeight w:val="111"/>
        </w:trPr>
        <w:tc>
          <w:tcPr>
            <w:tcW w:w="2100" w:type="dxa"/>
          </w:tcPr>
          <w:p w:rsidR="005D5AF2" w:rsidRPr="00686CC6" w:rsidRDefault="005D5AF2" w:rsidP="0039575E">
            <w:pPr>
              <w:ind w:firstLine="720"/>
            </w:pPr>
            <w:r w:rsidRPr="00686CC6">
              <w:t>9</w:t>
            </w:r>
          </w:p>
        </w:tc>
        <w:tc>
          <w:tcPr>
            <w:tcW w:w="3780" w:type="dxa"/>
          </w:tcPr>
          <w:p w:rsidR="005D5AF2" w:rsidRPr="00686CC6" w:rsidRDefault="005D5AF2" w:rsidP="0039575E">
            <w:pPr>
              <w:ind w:firstLine="720"/>
            </w:pPr>
            <w:r w:rsidRPr="00686CC6">
              <w:t>37000</w:t>
            </w:r>
          </w:p>
        </w:tc>
        <w:tc>
          <w:tcPr>
            <w:tcW w:w="2400" w:type="dxa"/>
            <w:vAlign w:val="center"/>
          </w:tcPr>
          <w:p w:rsidR="005D5AF2" w:rsidRPr="00686CC6" w:rsidRDefault="005D5AF2" w:rsidP="0039575E">
            <w:pPr>
              <w:jc w:val="right"/>
              <w:rPr>
                <w:color w:val="000000"/>
              </w:rPr>
            </w:pPr>
            <w:r w:rsidRPr="00686CC6">
              <w:rPr>
                <w:color w:val="000000"/>
              </w:rPr>
              <w:t>750</w:t>
            </w:r>
          </w:p>
        </w:tc>
      </w:tr>
      <w:tr w:rsidR="005D5AF2" w:rsidRPr="00686CC6" w:rsidTr="00DC58FF">
        <w:trPr>
          <w:trHeight w:val="165"/>
        </w:trPr>
        <w:tc>
          <w:tcPr>
            <w:tcW w:w="2100" w:type="dxa"/>
          </w:tcPr>
          <w:p w:rsidR="005D5AF2" w:rsidRPr="00686CC6" w:rsidRDefault="005D5AF2" w:rsidP="0039575E">
            <w:pPr>
              <w:ind w:firstLine="720"/>
            </w:pPr>
            <w:r w:rsidRPr="00686CC6">
              <w:t>10</w:t>
            </w:r>
          </w:p>
        </w:tc>
        <w:tc>
          <w:tcPr>
            <w:tcW w:w="3780" w:type="dxa"/>
          </w:tcPr>
          <w:p w:rsidR="005D5AF2" w:rsidRPr="00686CC6" w:rsidRDefault="005D5AF2" w:rsidP="0039575E">
            <w:pPr>
              <w:ind w:firstLine="720"/>
            </w:pPr>
            <w:r w:rsidRPr="00686CC6">
              <w:t>32000</w:t>
            </w:r>
          </w:p>
        </w:tc>
        <w:tc>
          <w:tcPr>
            <w:tcW w:w="2400" w:type="dxa"/>
            <w:vAlign w:val="center"/>
          </w:tcPr>
          <w:p w:rsidR="005D5AF2" w:rsidRPr="00686CC6" w:rsidRDefault="005D5AF2" w:rsidP="0039575E">
            <w:pPr>
              <w:jc w:val="right"/>
              <w:rPr>
                <w:color w:val="000000"/>
              </w:rPr>
            </w:pPr>
            <w:r w:rsidRPr="00686CC6">
              <w:rPr>
                <w:color w:val="000000"/>
              </w:rPr>
              <w:t>700</w:t>
            </w:r>
          </w:p>
        </w:tc>
      </w:tr>
      <w:tr w:rsidR="005D5AF2" w:rsidRPr="00686CC6" w:rsidTr="00DC58FF">
        <w:trPr>
          <w:trHeight w:val="150"/>
        </w:trPr>
        <w:tc>
          <w:tcPr>
            <w:tcW w:w="2100" w:type="dxa"/>
          </w:tcPr>
          <w:p w:rsidR="005D5AF2" w:rsidRPr="00686CC6" w:rsidRDefault="005D5AF2" w:rsidP="0039575E">
            <w:pPr>
              <w:ind w:firstLine="720"/>
            </w:pPr>
            <w:r w:rsidRPr="00686CC6">
              <w:t>11</w:t>
            </w:r>
          </w:p>
        </w:tc>
        <w:tc>
          <w:tcPr>
            <w:tcW w:w="3780" w:type="dxa"/>
          </w:tcPr>
          <w:p w:rsidR="005D5AF2" w:rsidRPr="00686CC6" w:rsidRDefault="005D5AF2" w:rsidP="0039575E">
            <w:pPr>
              <w:ind w:firstLine="720"/>
            </w:pPr>
            <w:r w:rsidRPr="00686CC6">
              <w:t>30000</w:t>
            </w:r>
          </w:p>
        </w:tc>
        <w:tc>
          <w:tcPr>
            <w:tcW w:w="2400" w:type="dxa"/>
            <w:vAlign w:val="center"/>
          </w:tcPr>
          <w:p w:rsidR="005D5AF2" w:rsidRPr="00686CC6" w:rsidRDefault="005D5AF2" w:rsidP="0039575E">
            <w:pPr>
              <w:jc w:val="right"/>
              <w:rPr>
                <w:color w:val="000000"/>
              </w:rPr>
            </w:pPr>
            <w:r w:rsidRPr="00686CC6">
              <w:rPr>
                <w:color w:val="000000"/>
              </w:rPr>
              <w:t>600</w:t>
            </w:r>
          </w:p>
        </w:tc>
      </w:tr>
      <w:tr w:rsidR="005D5AF2" w:rsidRPr="00686CC6" w:rsidTr="00DC58FF">
        <w:trPr>
          <w:trHeight w:val="150"/>
        </w:trPr>
        <w:tc>
          <w:tcPr>
            <w:tcW w:w="2100" w:type="dxa"/>
          </w:tcPr>
          <w:p w:rsidR="005D5AF2" w:rsidRPr="00686CC6" w:rsidRDefault="005D5AF2" w:rsidP="0039575E">
            <w:pPr>
              <w:ind w:firstLine="720"/>
            </w:pPr>
            <w:r w:rsidRPr="00686CC6">
              <w:t>12</w:t>
            </w:r>
          </w:p>
        </w:tc>
        <w:tc>
          <w:tcPr>
            <w:tcW w:w="3780" w:type="dxa"/>
          </w:tcPr>
          <w:p w:rsidR="005D5AF2" w:rsidRPr="00686CC6" w:rsidRDefault="005D5AF2" w:rsidP="0039575E">
            <w:pPr>
              <w:ind w:firstLine="720"/>
            </w:pPr>
            <w:r w:rsidRPr="00686CC6">
              <w:t>2000</w:t>
            </w:r>
          </w:p>
        </w:tc>
        <w:tc>
          <w:tcPr>
            <w:tcW w:w="2400" w:type="dxa"/>
            <w:vAlign w:val="center"/>
          </w:tcPr>
          <w:p w:rsidR="005D5AF2" w:rsidRPr="00686CC6" w:rsidRDefault="005D5AF2" w:rsidP="0039575E">
            <w:pPr>
              <w:jc w:val="right"/>
              <w:rPr>
                <w:color w:val="000000"/>
              </w:rPr>
            </w:pPr>
            <w:r w:rsidRPr="00686CC6">
              <w:rPr>
                <w:color w:val="000000"/>
              </w:rPr>
              <w:t>500</w:t>
            </w:r>
          </w:p>
        </w:tc>
      </w:tr>
      <w:tr w:rsidR="005D5AF2" w:rsidRPr="00686CC6" w:rsidTr="00DC58FF">
        <w:trPr>
          <w:trHeight w:val="368"/>
        </w:trPr>
        <w:tc>
          <w:tcPr>
            <w:tcW w:w="2100" w:type="dxa"/>
          </w:tcPr>
          <w:p w:rsidR="005D5AF2" w:rsidRPr="00686CC6" w:rsidRDefault="005D5AF2" w:rsidP="0039575E">
            <w:pPr>
              <w:ind w:firstLine="720"/>
            </w:pPr>
            <w:r w:rsidRPr="00686CC6">
              <w:t>13</w:t>
            </w:r>
          </w:p>
        </w:tc>
        <w:tc>
          <w:tcPr>
            <w:tcW w:w="3780" w:type="dxa"/>
          </w:tcPr>
          <w:p w:rsidR="005D5AF2" w:rsidRPr="00686CC6" w:rsidRDefault="005D5AF2" w:rsidP="0039575E">
            <w:pPr>
              <w:ind w:firstLine="720"/>
            </w:pPr>
            <w:r w:rsidRPr="00686CC6">
              <w:t>15000</w:t>
            </w:r>
          </w:p>
        </w:tc>
        <w:tc>
          <w:tcPr>
            <w:tcW w:w="2400" w:type="dxa"/>
            <w:vAlign w:val="center"/>
          </w:tcPr>
          <w:p w:rsidR="005D5AF2" w:rsidRPr="00686CC6" w:rsidRDefault="005D5AF2" w:rsidP="0039575E">
            <w:pPr>
              <w:jc w:val="right"/>
              <w:rPr>
                <w:color w:val="000000"/>
              </w:rPr>
            </w:pPr>
            <w:r w:rsidRPr="00686CC6">
              <w:rPr>
                <w:color w:val="000000"/>
              </w:rPr>
              <w:t>550</w:t>
            </w:r>
          </w:p>
        </w:tc>
      </w:tr>
      <w:tr w:rsidR="005D5AF2" w:rsidRPr="00686CC6" w:rsidTr="00DC58FF">
        <w:trPr>
          <w:trHeight w:val="135"/>
        </w:trPr>
        <w:tc>
          <w:tcPr>
            <w:tcW w:w="2100" w:type="dxa"/>
          </w:tcPr>
          <w:p w:rsidR="005D5AF2" w:rsidRPr="00686CC6" w:rsidRDefault="005D5AF2" w:rsidP="0039575E">
            <w:pPr>
              <w:ind w:firstLine="720"/>
            </w:pPr>
            <w:r w:rsidRPr="00686CC6">
              <w:t>14</w:t>
            </w:r>
          </w:p>
        </w:tc>
        <w:tc>
          <w:tcPr>
            <w:tcW w:w="3780" w:type="dxa"/>
          </w:tcPr>
          <w:p w:rsidR="005D5AF2" w:rsidRPr="00686CC6" w:rsidRDefault="005D5AF2" w:rsidP="0039575E">
            <w:pPr>
              <w:ind w:firstLine="720"/>
            </w:pPr>
            <w:r w:rsidRPr="00686CC6">
              <w:t>14500</w:t>
            </w:r>
          </w:p>
        </w:tc>
        <w:tc>
          <w:tcPr>
            <w:tcW w:w="2400" w:type="dxa"/>
            <w:vAlign w:val="center"/>
          </w:tcPr>
          <w:p w:rsidR="005D5AF2" w:rsidRPr="00686CC6" w:rsidRDefault="005D5AF2" w:rsidP="0039575E">
            <w:pPr>
              <w:jc w:val="right"/>
              <w:rPr>
                <w:color w:val="000000"/>
              </w:rPr>
            </w:pPr>
            <w:r w:rsidRPr="00686CC6">
              <w:rPr>
                <w:color w:val="000000"/>
              </w:rPr>
              <w:t>580</w:t>
            </w:r>
          </w:p>
        </w:tc>
      </w:tr>
      <w:tr w:rsidR="005D5AF2" w:rsidRPr="00686CC6" w:rsidTr="00DC58FF">
        <w:trPr>
          <w:trHeight w:val="180"/>
        </w:trPr>
        <w:tc>
          <w:tcPr>
            <w:tcW w:w="2100" w:type="dxa"/>
          </w:tcPr>
          <w:p w:rsidR="005D5AF2" w:rsidRPr="00686CC6" w:rsidRDefault="005D5AF2" w:rsidP="0039575E">
            <w:pPr>
              <w:ind w:firstLine="720"/>
            </w:pPr>
            <w:r w:rsidRPr="00686CC6">
              <w:t>15</w:t>
            </w:r>
          </w:p>
        </w:tc>
        <w:tc>
          <w:tcPr>
            <w:tcW w:w="3780" w:type="dxa"/>
          </w:tcPr>
          <w:p w:rsidR="005D5AF2" w:rsidRPr="00686CC6" w:rsidRDefault="005D5AF2" w:rsidP="0039575E">
            <w:pPr>
              <w:ind w:firstLine="720"/>
            </w:pPr>
            <w:r w:rsidRPr="00686CC6">
              <w:t>14950</w:t>
            </w:r>
          </w:p>
        </w:tc>
        <w:tc>
          <w:tcPr>
            <w:tcW w:w="2400" w:type="dxa"/>
            <w:vAlign w:val="center"/>
          </w:tcPr>
          <w:p w:rsidR="005D5AF2" w:rsidRPr="00686CC6" w:rsidRDefault="005D5AF2" w:rsidP="0039575E">
            <w:pPr>
              <w:jc w:val="right"/>
              <w:rPr>
                <w:color w:val="000000"/>
              </w:rPr>
            </w:pPr>
            <w:r w:rsidRPr="00686CC6">
              <w:rPr>
                <w:color w:val="000000"/>
              </w:rPr>
              <w:t>600</w:t>
            </w:r>
          </w:p>
        </w:tc>
      </w:tr>
    </w:tbl>
    <w:p w:rsidR="00DE522A" w:rsidRPr="00686CC6" w:rsidRDefault="00DE522A" w:rsidP="0039575E">
      <w:pPr>
        <w:tabs>
          <w:tab w:val="left" w:pos="1995"/>
        </w:tabs>
      </w:pPr>
    </w:p>
    <w:p w:rsidR="0003338E" w:rsidRPr="00686CC6" w:rsidRDefault="001107E9" w:rsidP="0039575E">
      <w:pPr>
        <w:tabs>
          <w:tab w:val="left" w:pos="1995"/>
        </w:tabs>
      </w:pPr>
      <w:r w:rsidRPr="00686CC6">
        <w:rPr>
          <w:noProof/>
        </w:rPr>
        <w:lastRenderedPageBreak/>
        <w:drawing>
          <wp:inline distT="0" distB="0" distL="0" distR="0" wp14:anchorId="128F5E63" wp14:editId="171237BC">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03338E" w:rsidRPr="00686CC6" w:rsidRDefault="0003338E"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r w:rsidRPr="00686CC6">
        <w:rPr>
          <w:noProof/>
        </w:rPr>
        <w:lastRenderedPageBreak/>
        <w:drawing>
          <wp:inline distT="0" distB="0" distL="0" distR="0" wp14:anchorId="1698A9DB" wp14:editId="47785B9D">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E2CA6" w:rsidRPr="00686CC6" w:rsidRDefault="001E2CA6"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s>
      </w:pPr>
    </w:p>
    <w:p w:rsidR="00C75FF2" w:rsidRPr="00686CC6" w:rsidRDefault="00C75FF2" w:rsidP="0039575E">
      <w:pPr>
        <w:tabs>
          <w:tab w:val="left" w:pos="1995"/>
          <w:tab w:val="left" w:pos="2640"/>
        </w:tabs>
      </w:pPr>
      <w:r w:rsidRPr="00686CC6">
        <w:t xml:space="preserve">The </w:t>
      </w:r>
      <w:r w:rsidR="005D5AF2" w:rsidRPr="00686CC6">
        <w:t>long-term growth trajectory</w:t>
      </w:r>
      <w:r w:rsidRPr="00686CC6">
        <w:t xml:space="preserve"> of the </w:t>
      </w:r>
      <w:r w:rsidR="005D5AF2" w:rsidRPr="00686CC6">
        <w:t>virus</w:t>
      </w:r>
      <w:r w:rsidRPr="00686CC6">
        <w:t xml:space="preserve"> is as follows</w:t>
      </w:r>
    </w:p>
    <w:p w:rsidR="00C75FF2" w:rsidRPr="00686CC6" w:rsidRDefault="002C0AD1" w:rsidP="0039575E">
      <w:pPr>
        <w:tabs>
          <w:tab w:val="left" w:pos="1995"/>
        </w:tabs>
      </w:pPr>
      <w:r w:rsidRPr="00686CC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8.25pt;height:223.5pt">
            <v:imagedata r:id="rId9" o:title="Hiv-timecourse"/>
          </v:shape>
        </w:pict>
      </w:r>
    </w:p>
    <w:p w:rsidR="005D5AF2" w:rsidRPr="00686CC6" w:rsidRDefault="005D5AF2" w:rsidP="0039575E">
      <w:pPr>
        <w:tabs>
          <w:tab w:val="left" w:pos="1995"/>
        </w:tabs>
      </w:pPr>
    </w:p>
    <w:p w:rsidR="005D5AF2" w:rsidRPr="00686CC6" w:rsidRDefault="005D5AF2" w:rsidP="0039575E">
      <w:pPr>
        <w:tabs>
          <w:tab w:val="left" w:pos="1995"/>
        </w:tabs>
      </w:pPr>
    </w:p>
    <w:p w:rsidR="005D5AF2" w:rsidRPr="00686CC6" w:rsidRDefault="005D5AF2" w:rsidP="0039575E">
      <w:pPr>
        <w:pStyle w:val="Default"/>
        <w:spacing w:line="480" w:lineRule="auto"/>
      </w:pPr>
    </w:p>
    <w:p w:rsidR="00C75FF2" w:rsidRPr="00686CC6" w:rsidRDefault="003643FD" w:rsidP="001272EC">
      <w:pPr>
        <w:tabs>
          <w:tab w:val="left" w:pos="1995"/>
        </w:tabs>
        <w:jc w:val="center"/>
        <w:rPr>
          <w:b/>
        </w:rPr>
      </w:pPr>
      <w:r w:rsidRPr="00686CC6">
        <w:rPr>
          <w:b/>
        </w:rPr>
        <w:lastRenderedPageBreak/>
        <w:t>Part 2</w:t>
      </w:r>
    </w:p>
    <w:p w:rsidR="0042129A" w:rsidRPr="00686CC6" w:rsidRDefault="001272EC" w:rsidP="0039575E">
      <w:pPr>
        <w:tabs>
          <w:tab w:val="left" w:pos="1995"/>
        </w:tabs>
        <w:rPr>
          <w:color w:val="000000"/>
        </w:rPr>
      </w:pPr>
      <w:r w:rsidRPr="00686CC6">
        <w:rPr>
          <w:color w:val="000000"/>
        </w:rPr>
        <w:t xml:space="preserve">              </w:t>
      </w:r>
      <w:r w:rsidR="0042129A" w:rsidRPr="00686CC6">
        <w:rPr>
          <w:color w:val="000000"/>
        </w:rPr>
        <w:t xml:space="preserve">The human body is equipped with the defensive mechanism that is meant to protect against the acquisition of infections. There are two defense mechanisms in the body. The innate and the adaptive immune system. In the initial phase of HIV infection, the body innate immune system attempts to fight off the infection but is rapidly overwhelmed by the body immune system since it is not adapted to fighting viruses (Scott, 2015). The adaptive system takes time to come into play, and by that time the infection usually has spread all over the body. The system starts to take its course usually one to two weeks after infection. At this point, the body begins to produce immune cells that are capable of fighting off the infection.  As the body starts to fight off the infection, the patient may experience fever, a flue like illness, myalgia, malaise and pain in the joints (arthralgia). This is the acute </w:t>
      </w:r>
      <w:proofErr w:type="spellStart"/>
      <w:r w:rsidR="0042129A" w:rsidRPr="00686CC6">
        <w:rPr>
          <w:color w:val="000000"/>
        </w:rPr>
        <w:t>seroconversion</w:t>
      </w:r>
      <w:proofErr w:type="spellEnd"/>
      <w:r w:rsidR="0042129A" w:rsidRPr="00686CC6">
        <w:rPr>
          <w:color w:val="000000"/>
        </w:rPr>
        <w:t xml:space="preserve"> stage at which anti-viral immune cell begin to appear in the blood (Nash, </w:t>
      </w:r>
      <w:proofErr w:type="spellStart"/>
      <w:r w:rsidR="0042129A" w:rsidRPr="00686CC6">
        <w:rPr>
          <w:color w:val="000000"/>
        </w:rPr>
        <w:t>Dalziel</w:t>
      </w:r>
      <w:proofErr w:type="spellEnd"/>
      <w:r w:rsidR="0042129A" w:rsidRPr="00686CC6">
        <w:rPr>
          <w:color w:val="000000"/>
        </w:rPr>
        <w:t xml:space="preserve"> &amp; Fitzgerald, 2015). </w:t>
      </w:r>
    </w:p>
    <w:p w:rsidR="0042129A" w:rsidRPr="00686CC6" w:rsidRDefault="00686CC6" w:rsidP="00686CC6">
      <w:pPr>
        <w:tabs>
          <w:tab w:val="left" w:pos="1995"/>
        </w:tabs>
        <w:rPr>
          <w:color w:val="000000"/>
        </w:rPr>
      </w:pPr>
      <w:r>
        <w:rPr>
          <w:color w:val="000000"/>
        </w:rPr>
        <w:t xml:space="preserve">               </w:t>
      </w:r>
      <w:r w:rsidR="0042129A" w:rsidRPr="00686CC6">
        <w:rPr>
          <w:color w:val="000000"/>
        </w:rPr>
        <w:t xml:space="preserve">In the absence of the body’s immune system, the HIV would grow exponentially before reaching a plateau level and remain at that level indefinitely, a point at which the number of CD4 cell produced is equivalent to the number of CD4 cell death due to </w:t>
      </w:r>
      <w:proofErr w:type="spellStart"/>
      <w:r w:rsidR="0042129A" w:rsidRPr="00686CC6">
        <w:rPr>
          <w:color w:val="000000"/>
        </w:rPr>
        <w:t>cytopathic</w:t>
      </w:r>
      <w:proofErr w:type="spellEnd"/>
      <w:r w:rsidR="0042129A" w:rsidRPr="00686CC6">
        <w:rPr>
          <w:color w:val="000000"/>
        </w:rPr>
        <w:t xml:space="preserve"> effects (Nash, </w:t>
      </w:r>
      <w:proofErr w:type="spellStart"/>
      <w:r w:rsidR="0042129A" w:rsidRPr="00686CC6">
        <w:rPr>
          <w:color w:val="000000"/>
        </w:rPr>
        <w:t>Dalziel</w:t>
      </w:r>
      <w:proofErr w:type="spellEnd"/>
      <w:r w:rsidR="0042129A" w:rsidRPr="00686CC6">
        <w:rPr>
          <w:color w:val="000000"/>
        </w:rPr>
        <w:t xml:space="preserve"> &amp; Fitzgerald, 2015). As the adaptive body immunity gets activated, intense inflammation occurs in the body as it attempts to fight off the infection. This stalls the rise of HIV level in the body. The virus level begins to fall rapidly as the antiviral immune cells in the body fight it off. This will continue until the virus level falls back to the undetectable level. However, this will be strongly influenced by the pre-infection general health of a person (Scott, 2015). If the person h</w:t>
      </w:r>
      <w:r w:rsidR="00AC0CA1">
        <w:rPr>
          <w:color w:val="000000"/>
        </w:rPr>
        <w:t xml:space="preserve">ad a comorbidity like diabetes mellitus </w:t>
      </w:r>
      <w:r w:rsidR="0042129A" w:rsidRPr="00686CC6">
        <w:rPr>
          <w:color w:val="000000"/>
        </w:rPr>
        <w:t>which serves to suppress the body’s immune system, the viral load would not fall to the undetectable level. Rather, a new steady state will be achieved at a relatively higher viral blood level.</w:t>
      </w:r>
    </w:p>
    <w:p w:rsidR="0042129A" w:rsidRPr="00686CC6" w:rsidRDefault="0042129A" w:rsidP="0039575E">
      <w:pPr>
        <w:tabs>
          <w:tab w:val="left" w:pos="1995"/>
        </w:tabs>
        <w:rPr>
          <w:color w:val="000000"/>
        </w:rPr>
      </w:pPr>
    </w:p>
    <w:p w:rsidR="00E12E93" w:rsidRPr="00C34DBD" w:rsidRDefault="00AC0CA1" w:rsidP="0039575E">
      <w:pPr>
        <w:tabs>
          <w:tab w:val="left" w:pos="1995"/>
        </w:tabs>
        <w:rPr>
          <w:color w:val="000000"/>
        </w:rPr>
      </w:pPr>
      <w:r>
        <w:rPr>
          <w:color w:val="000000"/>
        </w:rPr>
        <w:t xml:space="preserve">                </w:t>
      </w:r>
      <w:r w:rsidR="0042129A" w:rsidRPr="00686CC6">
        <w:rPr>
          <w:color w:val="000000"/>
        </w:rPr>
        <w:t>Many factors influence how the body responds to HIV infection. This is strongly influenced by the genetic and environmental factors. The victim’s human allelic variants strongly influence one's susceptibility to this infection hence the trajectory the infection ultimately follows. The cellular proteins that par</w:t>
      </w:r>
      <w:r>
        <w:rPr>
          <w:color w:val="000000"/>
        </w:rPr>
        <w:t>ticipate in HIV replication has</w:t>
      </w:r>
      <w:r w:rsidR="0042129A" w:rsidRPr="00686CC6">
        <w:rPr>
          <w:color w:val="000000"/>
        </w:rPr>
        <w:t xml:space="preserve"> a huge role in the speed of HIV replication. Other factors to be considered in determining the rate of growth of HIV included viral factors that determine how the virus can escape the body immunity or the replicative virus properties and the cellular factor in the body that corporate with the virus as it replicates in the human body (Scott, 2015).</w:t>
      </w:r>
    </w:p>
    <w:p w:rsidR="00A21C25" w:rsidRPr="00686CC6" w:rsidRDefault="001107E9" w:rsidP="0039575E">
      <w:pPr>
        <w:pStyle w:val="Default"/>
        <w:spacing w:line="480" w:lineRule="auto"/>
      </w:pPr>
      <w:r w:rsidRPr="00686CC6">
        <w:t xml:space="preserve"> </w:t>
      </w:r>
      <w:r w:rsidR="00C34DBD">
        <w:tab/>
      </w:r>
      <w:r w:rsidRPr="00686CC6">
        <w:t>The represent the number of HIV virus in the body</w:t>
      </w:r>
    </w:p>
    <w:p w:rsidR="001107E9" w:rsidRPr="00686CC6" w:rsidRDefault="001107E9" w:rsidP="0039575E">
      <w:pPr>
        <w:pStyle w:val="Default"/>
        <w:spacing w:line="480" w:lineRule="auto"/>
      </w:pPr>
    </w:p>
    <w:p w:rsidR="00E12E93" w:rsidRPr="00686CC6" w:rsidRDefault="001107E9" w:rsidP="0039575E">
      <w:pPr>
        <w:pStyle w:val="Default"/>
        <w:spacing w:line="480" w:lineRule="auto"/>
      </w:pPr>
      <w:r w:rsidRPr="00686CC6">
        <w:rPr>
          <w:noProof/>
        </w:rPr>
        <w:drawing>
          <wp:inline distT="0" distB="0" distL="0" distR="0" wp14:anchorId="5CC7E8E6" wp14:editId="0C63BD44">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107E9" w:rsidRPr="00686CC6" w:rsidRDefault="001107E9" w:rsidP="0039575E">
      <w:pPr>
        <w:pStyle w:val="Default"/>
        <w:spacing w:line="480" w:lineRule="auto"/>
      </w:pPr>
    </w:p>
    <w:p w:rsidR="00E12E93" w:rsidRPr="00686CC6" w:rsidRDefault="00E12E93" w:rsidP="00C34DBD">
      <w:pPr>
        <w:pStyle w:val="Default"/>
        <w:spacing w:line="480" w:lineRule="auto"/>
        <w:ind w:firstLine="720"/>
      </w:pPr>
      <w:r w:rsidRPr="00686CC6">
        <w:t xml:space="preserve">The change in viral level in the body as </w:t>
      </w:r>
      <w:r w:rsidR="001107E9" w:rsidRPr="00686CC6">
        <w:t>adaptive</w:t>
      </w:r>
      <w:r w:rsidRPr="00686CC6">
        <w:t xml:space="preserve"> immunity comes into play:</w:t>
      </w:r>
    </w:p>
    <w:p w:rsidR="00A81508" w:rsidRPr="00686CC6" w:rsidRDefault="00E12E93" w:rsidP="00A81508">
      <w:pPr>
        <w:pStyle w:val="Default"/>
        <w:spacing w:line="480" w:lineRule="auto"/>
      </w:pPr>
      <w:r w:rsidRPr="00686CC6">
        <w:rPr>
          <w:noProof/>
        </w:rPr>
        <w:lastRenderedPageBreak/>
        <w:drawing>
          <wp:inline distT="0" distB="0" distL="0" distR="0" wp14:anchorId="18B4F3FF" wp14:editId="5A2424E6">
            <wp:extent cx="4572000" cy="27432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81508" w:rsidRPr="00686CC6" w:rsidRDefault="00A81508" w:rsidP="00A81508">
      <w:pPr>
        <w:pStyle w:val="Default"/>
        <w:spacing w:line="480" w:lineRule="auto"/>
        <w:ind w:firstLine="720"/>
        <w:jc w:val="center"/>
        <w:rPr>
          <w:b/>
        </w:rPr>
      </w:pPr>
      <w:r w:rsidRPr="00686CC6">
        <w:rPr>
          <w:b/>
        </w:rPr>
        <w:t>Part 3</w:t>
      </w:r>
    </w:p>
    <w:p w:rsidR="00A81508" w:rsidRPr="00686CC6" w:rsidRDefault="00A81508" w:rsidP="00A81508">
      <w:pPr>
        <w:pStyle w:val="Default"/>
        <w:spacing w:line="480" w:lineRule="auto"/>
        <w:ind w:firstLine="720"/>
      </w:pPr>
      <w:r w:rsidRPr="00686CC6">
        <w:t xml:space="preserve">The exponential growth model as illustrated in the replication of HIV in the human cell can be applied in the explanation of spread of viruses from one person to another. This is however influenced by a variety of factors. The first factor to consider is the type of the virus. This influence the mode of spread. The transmission of viruses is strongly influenced by factors like viral infectivity, the host defense mechanism, the host behavior and the environmental determinants. For respiratory viruses, environmental conditions that influence their spread included humidity and temperature, precipitation, ventilation, and airflow. For HIV virus, the following are the major factors that have to influence its spread world over (Nash, </w:t>
      </w:r>
      <w:proofErr w:type="spellStart"/>
      <w:r w:rsidRPr="00686CC6">
        <w:t>Dalziel</w:t>
      </w:r>
      <w:proofErr w:type="spellEnd"/>
      <w:r w:rsidRPr="00686CC6">
        <w:t xml:space="preserve"> &amp; Fitzgerald, 2015). They include poverty, illiteracy, and ignorance, the stigma associated with the condition, socio-cultural factors, ignorance, and promiscuity. Civil wars and tribal factors, movement of people and immigration, poor medical services, substance, and alcohol use.</w:t>
      </w:r>
    </w:p>
    <w:p w:rsidR="008B1FBE" w:rsidRPr="00686CC6" w:rsidRDefault="00A81508" w:rsidP="00A81508">
      <w:pPr>
        <w:pStyle w:val="Default"/>
        <w:spacing w:line="480" w:lineRule="auto"/>
        <w:ind w:firstLine="720"/>
      </w:pPr>
      <w:r w:rsidRPr="00686CC6">
        <w:t xml:space="preserve">The spread of a virus inside a human host is much faster than that between people. This is because, in the human body, there is unlimited number of particles the virus can attack before the body develops adaptive immunity. The spread between human hosts is slow because the virus </w:t>
      </w:r>
      <w:r w:rsidRPr="00686CC6">
        <w:lastRenderedPageBreak/>
        <w:t xml:space="preserve">must undergo an incubation period inside a human host before the person become infections. Once a person is identified as infection, his transmission of the infection to others can be limited by public health measures (Nash, </w:t>
      </w:r>
      <w:proofErr w:type="spellStart"/>
      <w:r w:rsidRPr="00686CC6">
        <w:t>Dalziel</w:t>
      </w:r>
      <w:proofErr w:type="spellEnd"/>
      <w:r w:rsidRPr="00686CC6">
        <w:t xml:space="preserve"> &amp; Fitzgerald, 2015). The growth trajectory of these infections both in the human host and between hosts adopt a similar shape when plotted on a graph.</w:t>
      </w:r>
    </w:p>
    <w:p w:rsidR="0042129A" w:rsidRPr="00686CC6" w:rsidRDefault="0042129A" w:rsidP="0039575E">
      <w:pPr>
        <w:pStyle w:val="Default"/>
        <w:spacing w:line="480" w:lineRule="auto"/>
        <w:jc w:val="center"/>
        <w:rPr>
          <w:b/>
        </w:rPr>
      </w:pPr>
      <w:r w:rsidRPr="00686CC6">
        <w:rPr>
          <w:b/>
        </w:rPr>
        <w:t>Part 4: Online videos</w:t>
      </w:r>
    </w:p>
    <w:p w:rsidR="0042129A" w:rsidRPr="00686CC6" w:rsidRDefault="0042129A" w:rsidP="0039575E">
      <w:pPr>
        <w:pStyle w:val="Default"/>
        <w:spacing w:line="480" w:lineRule="auto"/>
        <w:ind w:firstLine="720"/>
      </w:pPr>
      <w:r w:rsidRPr="00686CC6">
        <w:t>Videos when posted online spread like viruses. Their spread is exponential, receiving a lot of view in the earlier stages but which gradually decrease over time until it loses favor in the market. Unpopular video receives very few like when initially posted. The likes despite being less, rise to a given level and plateau at that level.</w:t>
      </w:r>
    </w:p>
    <w:p w:rsidR="0042129A" w:rsidRPr="00686CC6" w:rsidRDefault="0042129A" w:rsidP="0039575E">
      <w:pPr>
        <w:pStyle w:val="Default"/>
        <w:spacing w:line="480" w:lineRule="auto"/>
        <w:ind w:firstLine="720"/>
      </w:pPr>
      <w:r w:rsidRPr="00686CC6">
        <w:t>The following exponential growth function models the growth of views on online videos that have been uploaded to social media sites like Facebook. The growth rate of these views as time (t) goes by at discrete intervals (for instance daily)   is as follows:</w:t>
      </w:r>
    </w:p>
    <w:p w:rsidR="0042129A" w:rsidRPr="00686CC6" w:rsidRDefault="0042129A" w:rsidP="0039575E">
      <w:pPr>
        <w:pStyle w:val="Default"/>
        <w:spacing w:line="480" w:lineRule="auto"/>
        <w:jc w:val="center"/>
      </w:pPr>
      <w:proofErr w:type="spellStart"/>
      <w:proofErr w:type="gramStart"/>
      <w:r w:rsidRPr="00686CC6">
        <w:t>xt</w:t>
      </w:r>
      <w:proofErr w:type="spellEnd"/>
      <w:proofErr w:type="gramEnd"/>
      <w:r w:rsidRPr="00686CC6">
        <w:t xml:space="preserve"> = x0 (1+ r)t</w:t>
      </w:r>
    </w:p>
    <w:p w:rsidR="0042129A" w:rsidRPr="00686CC6" w:rsidRDefault="0042129A" w:rsidP="0039575E">
      <w:pPr>
        <w:pStyle w:val="Default"/>
        <w:spacing w:line="480" w:lineRule="auto"/>
      </w:pPr>
      <w:r w:rsidRPr="00686CC6">
        <w:t>Where x0 is the actual number of view of the videos x at time 0.</w:t>
      </w:r>
    </w:p>
    <w:p w:rsidR="0042129A" w:rsidRPr="00686CC6" w:rsidRDefault="0042129A" w:rsidP="0039575E">
      <w:pPr>
        <w:pStyle w:val="Default"/>
        <w:spacing w:line="480" w:lineRule="auto"/>
      </w:pPr>
    </w:p>
    <w:p w:rsidR="001A6319" w:rsidRPr="00686CC6" w:rsidRDefault="0042129A" w:rsidP="000023E2">
      <w:pPr>
        <w:pStyle w:val="Default"/>
        <w:spacing w:line="480" w:lineRule="auto"/>
        <w:ind w:firstLine="720"/>
      </w:pPr>
      <w:r w:rsidRPr="00686CC6">
        <w:lastRenderedPageBreak/>
        <w:t>The video received 2000 vies on the first day. Its decay factor was taken as -5.</w:t>
      </w:r>
      <w:r w:rsidR="00AB1FA1" w:rsidRPr="00686CC6">
        <w:rPr>
          <w:noProof/>
        </w:rPr>
        <w:drawing>
          <wp:inline distT="0" distB="0" distL="0" distR="0" wp14:anchorId="2659C815" wp14:editId="6B02EE61">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A6319" w:rsidRPr="00686CC6" w:rsidRDefault="001A6319" w:rsidP="0039575E">
      <w:pPr>
        <w:pStyle w:val="Default"/>
        <w:spacing w:line="480" w:lineRule="auto"/>
      </w:pPr>
    </w:p>
    <w:p w:rsidR="001A6319" w:rsidRPr="00686CC6" w:rsidRDefault="00C30562" w:rsidP="0039575E">
      <w:pPr>
        <w:pStyle w:val="Default"/>
        <w:spacing w:line="480" w:lineRule="auto"/>
        <w:jc w:val="center"/>
        <w:rPr>
          <w:b/>
        </w:rPr>
      </w:pPr>
      <w:r w:rsidRPr="00686CC6">
        <w:rPr>
          <w:b/>
        </w:rPr>
        <w:t>Part 5</w:t>
      </w:r>
    </w:p>
    <w:p w:rsidR="001A6319" w:rsidRPr="00686CC6" w:rsidRDefault="001A6319" w:rsidP="000023E2">
      <w:pPr>
        <w:pStyle w:val="Default"/>
        <w:spacing w:line="480" w:lineRule="auto"/>
        <w:ind w:firstLine="720"/>
      </w:pPr>
      <w:r w:rsidRPr="00686CC6">
        <w:t xml:space="preserve">The following represents the </w:t>
      </w:r>
      <w:r w:rsidR="00130C66" w:rsidRPr="00686CC6">
        <w:t>exponential</w:t>
      </w:r>
      <w:r w:rsidRPr="00686CC6">
        <w:t xml:space="preserve"> </w:t>
      </w:r>
      <w:r w:rsidR="00130C66" w:rsidRPr="00686CC6">
        <w:t>growth</w:t>
      </w:r>
      <w:r w:rsidRPr="00686CC6">
        <w:t xml:space="preserve"> curve of a </w:t>
      </w:r>
      <w:r w:rsidR="00130C66" w:rsidRPr="00686CC6">
        <w:t>popular</w:t>
      </w:r>
      <w:r w:rsidRPr="00686CC6">
        <w:t xml:space="preserve"> </w:t>
      </w:r>
      <w:r w:rsidR="00130C66" w:rsidRPr="00686CC6">
        <w:t>video</w:t>
      </w:r>
      <w:r w:rsidRPr="00686CC6">
        <w:t xml:space="preserve"> with a growth factor of </w:t>
      </w:r>
      <w:r w:rsidR="00130C66" w:rsidRPr="00686CC6">
        <w:t>20.</w:t>
      </w:r>
    </w:p>
    <w:p w:rsidR="00130C66" w:rsidRPr="00686CC6" w:rsidRDefault="00140C0E" w:rsidP="0039575E">
      <w:pPr>
        <w:pStyle w:val="Default"/>
        <w:spacing w:line="480" w:lineRule="auto"/>
      </w:pPr>
      <w:r w:rsidRPr="00686CC6">
        <w:rPr>
          <w:noProof/>
        </w:rPr>
        <w:drawing>
          <wp:inline distT="0" distB="0" distL="0" distR="0" wp14:anchorId="43B2D7B7" wp14:editId="0A8C8C40">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30C66" w:rsidRPr="00686CC6" w:rsidRDefault="00130C66" w:rsidP="0039575E">
      <w:pPr>
        <w:pStyle w:val="Default"/>
        <w:spacing w:line="480" w:lineRule="auto"/>
      </w:pPr>
    </w:p>
    <w:p w:rsidR="00AB1FA1" w:rsidRPr="00686CC6" w:rsidRDefault="00AB1FA1" w:rsidP="0039575E">
      <w:pPr>
        <w:pStyle w:val="Default"/>
        <w:spacing w:line="480" w:lineRule="auto"/>
      </w:pPr>
    </w:p>
    <w:p w:rsidR="00AB1FA1" w:rsidRPr="00686CC6" w:rsidRDefault="00AB1FA1" w:rsidP="0039575E">
      <w:pPr>
        <w:pStyle w:val="Default"/>
        <w:spacing w:line="480" w:lineRule="auto"/>
      </w:pPr>
      <w:r w:rsidRPr="00686CC6">
        <w:lastRenderedPageBreak/>
        <w:t>Data</w:t>
      </w:r>
    </w:p>
    <w:tbl>
      <w:tblPr>
        <w:tblW w:w="7180" w:type="dxa"/>
        <w:tblLook w:val="04A0" w:firstRow="1" w:lastRow="0" w:firstColumn="1" w:lastColumn="0" w:noHBand="0" w:noVBand="1"/>
      </w:tblPr>
      <w:tblGrid>
        <w:gridCol w:w="2060"/>
        <w:gridCol w:w="2800"/>
        <w:gridCol w:w="2320"/>
      </w:tblGrid>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rPr>
                <w:rFonts w:eastAsia="Times New Roman"/>
                <w:color w:val="000000"/>
              </w:rPr>
            </w:pPr>
            <w:r w:rsidRPr="00686CC6">
              <w:rPr>
                <w:rFonts w:eastAsia="Times New Roman"/>
                <w:color w:val="000000"/>
              </w:rPr>
              <w:t>Day</w:t>
            </w:r>
          </w:p>
        </w:tc>
        <w:tc>
          <w:tcPr>
            <w:tcW w:w="2800" w:type="dxa"/>
            <w:tcBorders>
              <w:top w:val="nil"/>
              <w:left w:val="nil"/>
              <w:bottom w:val="nil"/>
              <w:right w:val="nil"/>
            </w:tcBorders>
            <w:shd w:val="clear" w:color="auto" w:fill="auto"/>
            <w:noWrap/>
            <w:vAlign w:val="bottom"/>
            <w:hideMark/>
          </w:tcPr>
          <w:p w:rsidR="00AB1FA1" w:rsidRPr="00686CC6" w:rsidRDefault="00A77E2D" w:rsidP="0039575E">
            <w:pPr>
              <w:rPr>
                <w:rFonts w:eastAsia="Times New Roman"/>
                <w:color w:val="000000"/>
              </w:rPr>
            </w:pPr>
            <w:r w:rsidRPr="00686CC6">
              <w:rPr>
                <w:rFonts w:eastAsia="Times New Roman"/>
                <w:color w:val="000000"/>
              </w:rPr>
              <w:t>Unpopular</w:t>
            </w:r>
            <w:r w:rsidR="00AB1FA1" w:rsidRPr="00686CC6">
              <w:rPr>
                <w:rFonts w:eastAsia="Times New Roman"/>
                <w:color w:val="000000"/>
              </w:rPr>
              <w:t xml:space="preserve">  of views</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rPr>
                <w:rFonts w:eastAsia="Times New Roman"/>
                <w:color w:val="000000"/>
              </w:rPr>
            </w:pPr>
            <w:r w:rsidRPr="00686CC6">
              <w:rPr>
                <w:rFonts w:eastAsia="Times New Roman"/>
                <w:color w:val="000000"/>
              </w:rPr>
              <w:t xml:space="preserve">Views on the </w:t>
            </w:r>
            <w:r w:rsidR="00A77E2D" w:rsidRPr="00686CC6">
              <w:rPr>
                <w:rFonts w:eastAsia="Times New Roman"/>
                <w:color w:val="000000"/>
              </w:rPr>
              <w:t>Popular</w:t>
            </w:r>
            <w:r w:rsidRPr="00686CC6">
              <w:rPr>
                <w:rFonts w:eastAsia="Times New Roman"/>
                <w:color w:val="000000"/>
              </w:rPr>
              <w:t xml:space="preserve"> video </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0</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2000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2000</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1900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2400</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1805</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2880</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1714</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3456</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1629</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4147</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1547</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4976</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6</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1470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5971</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7</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1396</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7166</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8</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1326</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8599</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9</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1260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10319</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10</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1197</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12383</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11</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1137</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14860</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12</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1080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17832</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13</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1026</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21398</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14</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975</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25678</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15</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926</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30814</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16</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880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36976</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17</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836</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44372</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18</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794</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53246</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19</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754</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63895</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lastRenderedPageBreak/>
              <w:t>20</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716</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76675</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21</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681</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92010</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22</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647</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110412</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23</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614</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132494</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24</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583</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158993</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25</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554</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190792</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26</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527</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228950</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27</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500</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274741</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28</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475</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329689</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29</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451</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395627</w:t>
            </w:r>
          </w:p>
        </w:tc>
      </w:tr>
      <w:tr w:rsidR="00AB1FA1" w:rsidRPr="00686CC6" w:rsidTr="00AB1FA1">
        <w:trPr>
          <w:trHeight w:val="300"/>
        </w:trPr>
        <w:tc>
          <w:tcPr>
            <w:tcW w:w="206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30</w:t>
            </w:r>
          </w:p>
        </w:tc>
        <w:tc>
          <w:tcPr>
            <w:tcW w:w="280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429</w:t>
            </w:r>
          </w:p>
        </w:tc>
        <w:tc>
          <w:tcPr>
            <w:tcW w:w="2320" w:type="dxa"/>
            <w:tcBorders>
              <w:top w:val="nil"/>
              <w:left w:val="nil"/>
              <w:bottom w:val="nil"/>
              <w:right w:val="nil"/>
            </w:tcBorders>
            <w:shd w:val="clear" w:color="auto" w:fill="auto"/>
            <w:noWrap/>
            <w:vAlign w:val="bottom"/>
            <w:hideMark/>
          </w:tcPr>
          <w:p w:rsidR="00AB1FA1" w:rsidRPr="00686CC6" w:rsidRDefault="00AB1FA1" w:rsidP="0039575E">
            <w:pPr>
              <w:jc w:val="right"/>
              <w:rPr>
                <w:rFonts w:eastAsia="Times New Roman"/>
                <w:color w:val="000000"/>
              </w:rPr>
            </w:pPr>
            <w:r w:rsidRPr="00686CC6">
              <w:rPr>
                <w:rFonts w:eastAsia="Times New Roman"/>
                <w:color w:val="000000"/>
              </w:rPr>
              <w:t>474752</w:t>
            </w:r>
          </w:p>
        </w:tc>
      </w:tr>
    </w:tbl>
    <w:p w:rsidR="00AB1FA1" w:rsidRPr="00686CC6" w:rsidRDefault="00AB1FA1" w:rsidP="0039575E">
      <w:pPr>
        <w:pStyle w:val="Default"/>
        <w:spacing w:line="480" w:lineRule="auto"/>
      </w:pPr>
    </w:p>
    <w:p w:rsidR="0042129A" w:rsidRPr="00686CC6" w:rsidRDefault="0042129A" w:rsidP="0039575E">
      <w:pPr>
        <w:pStyle w:val="Default"/>
        <w:spacing w:line="480" w:lineRule="auto"/>
        <w:ind w:firstLine="720"/>
        <w:jc w:val="center"/>
        <w:rPr>
          <w:b/>
        </w:rPr>
      </w:pPr>
      <w:r w:rsidRPr="00686CC6">
        <w:rPr>
          <w:b/>
        </w:rPr>
        <w:t>Differences in graphs.</w:t>
      </w:r>
    </w:p>
    <w:p w:rsidR="0042129A" w:rsidRPr="00686CC6" w:rsidRDefault="0042129A" w:rsidP="00266960">
      <w:pPr>
        <w:pStyle w:val="Default"/>
        <w:spacing w:line="480" w:lineRule="auto"/>
        <w:ind w:firstLine="720"/>
      </w:pPr>
      <w:r w:rsidRPr="00686CC6">
        <w:t>The popular video receives an increasing number of views over the one-month duration. The growth factor was positive at a growth rate of 20. The graph thus adopted an upward trajectory. The unpopular video received a decreasing number of views over the one-month duration with a dray rate of -5.</w:t>
      </w:r>
      <w:bookmarkStart w:id="0" w:name="_GoBack"/>
      <w:bookmarkEnd w:id="0"/>
    </w:p>
    <w:p w:rsidR="0042129A" w:rsidRPr="00686CC6" w:rsidRDefault="0042129A" w:rsidP="0039575E">
      <w:pPr>
        <w:pStyle w:val="Default"/>
        <w:spacing w:line="480" w:lineRule="auto"/>
        <w:ind w:firstLine="720"/>
        <w:jc w:val="center"/>
        <w:rPr>
          <w:b/>
        </w:rPr>
      </w:pPr>
      <w:r w:rsidRPr="00686CC6">
        <w:rPr>
          <w:b/>
        </w:rPr>
        <w:t>Part 6</w:t>
      </w:r>
    </w:p>
    <w:p w:rsidR="0042129A" w:rsidRPr="00686CC6" w:rsidRDefault="0042129A" w:rsidP="0039575E">
      <w:pPr>
        <w:pStyle w:val="Default"/>
        <w:spacing w:line="480" w:lineRule="auto"/>
        <w:ind w:firstLine="720"/>
      </w:pPr>
      <w:r w:rsidRPr="00686CC6">
        <w:t xml:space="preserve">The factors that were not taken into account while drawing the graph and which could impact on the views of the video include the social media site used, the target audience of the video, the region the video was released, the internet penetration rate in the target population, and possible government censorship programs. The strength of the message in the video and its </w:t>
      </w:r>
      <w:r w:rsidRPr="00686CC6">
        <w:lastRenderedPageBreak/>
        <w:t>appeal to emotions play a huge role in the number of views a video receives (Whiting &amp; William, 2013).</w:t>
      </w:r>
    </w:p>
    <w:p w:rsidR="0042129A" w:rsidRPr="00686CC6" w:rsidRDefault="0042129A" w:rsidP="0039575E">
      <w:pPr>
        <w:pStyle w:val="Default"/>
        <w:spacing w:line="480" w:lineRule="auto"/>
        <w:ind w:firstLine="720"/>
      </w:pPr>
      <w:r w:rsidRPr="00686CC6">
        <w:t>I would take into account the target audience of the video. Videos that tend to be appealing to the younger generation tend to receive more views. This is because this is the age group that spends most of their time online unlike old mature people. I would watch the videos to gauge the strengths of their message and likely appeal to emotions. Taking these factors into account will be useful in gauging whether the right growth factor or decay rate was used in coming up with the graphs (Fan &amp; Gordon,  2014).). Any alteration in these figures is likely to alter the eventual appearance of the graphs.</w:t>
      </w:r>
    </w:p>
    <w:p w:rsidR="00DC58FF" w:rsidRPr="00686CC6" w:rsidRDefault="00DC58FF"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Pr="00686CC6" w:rsidRDefault="0039575E" w:rsidP="0039575E">
      <w:pPr>
        <w:pStyle w:val="Default"/>
        <w:spacing w:line="480" w:lineRule="auto"/>
        <w:ind w:firstLine="720"/>
      </w:pPr>
    </w:p>
    <w:p w:rsidR="0039575E" w:rsidRDefault="0039575E" w:rsidP="0039575E">
      <w:pPr>
        <w:pStyle w:val="Default"/>
        <w:spacing w:line="480" w:lineRule="auto"/>
        <w:ind w:firstLine="720"/>
      </w:pPr>
    </w:p>
    <w:p w:rsidR="000023E2" w:rsidRDefault="000023E2" w:rsidP="0039575E">
      <w:pPr>
        <w:pStyle w:val="Default"/>
        <w:spacing w:line="480" w:lineRule="auto"/>
        <w:ind w:firstLine="720"/>
      </w:pPr>
    </w:p>
    <w:p w:rsidR="000023E2" w:rsidRPr="00686CC6" w:rsidRDefault="000023E2" w:rsidP="0039575E">
      <w:pPr>
        <w:pStyle w:val="Default"/>
        <w:spacing w:line="480" w:lineRule="auto"/>
        <w:ind w:firstLine="720"/>
      </w:pPr>
    </w:p>
    <w:p w:rsidR="0039575E" w:rsidRPr="000023E2" w:rsidRDefault="005F0B56" w:rsidP="0039575E">
      <w:pPr>
        <w:pStyle w:val="Default"/>
        <w:spacing w:line="480" w:lineRule="auto"/>
        <w:ind w:firstLine="720"/>
        <w:jc w:val="center"/>
      </w:pPr>
      <w:r w:rsidRPr="000023E2">
        <w:lastRenderedPageBreak/>
        <w:t>References</w:t>
      </w:r>
    </w:p>
    <w:p w:rsidR="0039575E" w:rsidRPr="00686CC6" w:rsidRDefault="0039575E" w:rsidP="0039575E">
      <w:pPr>
        <w:pStyle w:val="Default"/>
        <w:spacing w:line="480" w:lineRule="auto"/>
        <w:ind w:left="720" w:hanging="720"/>
        <w:rPr>
          <w:color w:val="222222"/>
          <w:shd w:val="clear" w:color="auto" w:fill="FFFFFF"/>
        </w:rPr>
      </w:pPr>
      <w:r w:rsidRPr="00686CC6">
        <w:rPr>
          <w:color w:val="222222"/>
          <w:shd w:val="clear" w:color="auto" w:fill="FFFFFF"/>
        </w:rPr>
        <w:t>Fan, W., &amp; Gordon, M. D. (2014). The power of social media analytics. </w:t>
      </w:r>
      <w:r w:rsidRPr="00686CC6">
        <w:rPr>
          <w:i/>
          <w:iCs/>
          <w:color w:val="222222"/>
          <w:shd w:val="clear" w:color="auto" w:fill="FFFFFF"/>
        </w:rPr>
        <w:t>Communications of the ACM</w:t>
      </w:r>
      <w:r w:rsidRPr="00686CC6">
        <w:rPr>
          <w:color w:val="222222"/>
          <w:shd w:val="clear" w:color="auto" w:fill="FFFFFF"/>
        </w:rPr>
        <w:t>, </w:t>
      </w:r>
      <w:r w:rsidRPr="00686CC6">
        <w:rPr>
          <w:i/>
          <w:iCs/>
          <w:color w:val="222222"/>
          <w:shd w:val="clear" w:color="auto" w:fill="FFFFFF"/>
        </w:rPr>
        <w:t>57</w:t>
      </w:r>
      <w:r w:rsidRPr="00686CC6">
        <w:rPr>
          <w:color w:val="222222"/>
          <w:shd w:val="clear" w:color="auto" w:fill="FFFFFF"/>
        </w:rPr>
        <w:t>(6), 74-81.</w:t>
      </w:r>
    </w:p>
    <w:p w:rsidR="0039575E" w:rsidRPr="00686CC6" w:rsidRDefault="0039575E" w:rsidP="0039575E">
      <w:pPr>
        <w:pStyle w:val="Default"/>
        <w:spacing w:line="480" w:lineRule="auto"/>
        <w:ind w:left="720" w:hanging="720"/>
        <w:rPr>
          <w:color w:val="222222"/>
          <w:shd w:val="clear" w:color="auto" w:fill="FFFFFF"/>
        </w:rPr>
      </w:pPr>
      <w:r w:rsidRPr="00686CC6">
        <w:rPr>
          <w:color w:val="222222"/>
          <w:shd w:val="clear" w:color="auto" w:fill="FFFFFF"/>
        </w:rPr>
        <w:t xml:space="preserve">Murray, P. R., Rosenthal, K. S., &amp; </w:t>
      </w:r>
      <w:proofErr w:type="spellStart"/>
      <w:r w:rsidRPr="00686CC6">
        <w:rPr>
          <w:color w:val="222222"/>
          <w:shd w:val="clear" w:color="auto" w:fill="FFFFFF"/>
        </w:rPr>
        <w:t>Pfaller</w:t>
      </w:r>
      <w:proofErr w:type="spellEnd"/>
      <w:r w:rsidRPr="00686CC6">
        <w:rPr>
          <w:color w:val="222222"/>
          <w:shd w:val="clear" w:color="auto" w:fill="FFFFFF"/>
        </w:rPr>
        <w:t>, M. A. (2015). </w:t>
      </w:r>
      <w:r w:rsidRPr="00686CC6">
        <w:rPr>
          <w:i/>
          <w:iCs/>
          <w:color w:val="222222"/>
          <w:shd w:val="clear" w:color="auto" w:fill="FFFFFF"/>
        </w:rPr>
        <w:t>Medical microbiology</w:t>
      </w:r>
      <w:r w:rsidRPr="00686CC6">
        <w:rPr>
          <w:color w:val="222222"/>
          <w:shd w:val="clear" w:color="auto" w:fill="FFFFFF"/>
        </w:rPr>
        <w:t>. Elsevier Health Sciences.</w:t>
      </w:r>
    </w:p>
    <w:p w:rsidR="0039575E" w:rsidRPr="00686CC6" w:rsidRDefault="0039575E" w:rsidP="0039575E">
      <w:pPr>
        <w:pStyle w:val="Default"/>
        <w:spacing w:line="480" w:lineRule="auto"/>
        <w:ind w:left="720" w:hanging="720"/>
        <w:rPr>
          <w:color w:val="222222"/>
          <w:shd w:val="clear" w:color="auto" w:fill="FFFFFF"/>
        </w:rPr>
      </w:pPr>
      <w:r w:rsidRPr="00686CC6">
        <w:rPr>
          <w:color w:val="222222"/>
          <w:shd w:val="clear" w:color="auto" w:fill="FFFFFF"/>
        </w:rPr>
        <w:t xml:space="preserve">Nash, A. A., </w:t>
      </w:r>
      <w:proofErr w:type="spellStart"/>
      <w:r w:rsidRPr="00686CC6">
        <w:rPr>
          <w:color w:val="222222"/>
          <w:shd w:val="clear" w:color="auto" w:fill="FFFFFF"/>
        </w:rPr>
        <w:t>Dalziel</w:t>
      </w:r>
      <w:proofErr w:type="spellEnd"/>
      <w:r w:rsidRPr="00686CC6">
        <w:rPr>
          <w:color w:val="222222"/>
          <w:shd w:val="clear" w:color="auto" w:fill="FFFFFF"/>
        </w:rPr>
        <w:t>, R. G., &amp; Fitzgerald, J. R. (2015). </w:t>
      </w:r>
      <w:r w:rsidRPr="00686CC6">
        <w:rPr>
          <w:i/>
          <w:iCs/>
          <w:color w:val="222222"/>
          <w:shd w:val="clear" w:color="auto" w:fill="FFFFFF"/>
        </w:rPr>
        <w:t>Mims' pathogenesis of infectious disease</w:t>
      </w:r>
      <w:r w:rsidRPr="00686CC6">
        <w:rPr>
          <w:color w:val="222222"/>
          <w:shd w:val="clear" w:color="auto" w:fill="FFFFFF"/>
        </w:rPr>
        <w:t>. Academic Press.</w:t>
      </w:r>
    </w:p>
    <w:p w:rsidR="0039575E" w:rsidRPr="00686CC6" w:rsidRDefault="0039575E" w:rsidP="0039575E">
      <w:pPr>
        <w:pStyle w:val="Default"/>
        <w:spacing w:line="480" w:lineRule="auto"/>
        <w:ind w:left="720" w:hanging="720"/>
        <w:rPr>
          <w:color w:val="222222"/>
          <w:shd w:val="clear" w:color="auto" w:fill="FFFFFF"/>
        </w:rPr>
      </w:pPr>
      <w:proofErr w:type="spellStart"/>
      <w:r w:rsidRPr="00686CC6">
        <w:rPr>
          <w:color w:val="222222"/>
          <w:shd w:val="clear" w:color="auto" w:fill="FFFFFF"/>
        </w:rPr>
        <w:t>Neri</w:t>
      </w:r>
      <w:proofErr w:type="spellEnd"/>
      <w:r w:rsidRPr="00686CC6">
        <w:rPr>
          <w:color w:val="222222"/>
          <w:shd w:val="clear" w:color="auto" w:fill="FFFFFF"/>
        </w:rPr>
        <w:t xml:space="preserve">, D., </w:t>
      </w:r>
      <w:proofErr w:type="spellStart"/>
      <w:r w:rsidRPr="00686CC6">
        <w:rPr>
          <w:color w:val="222222"/>
          <w:shd w:val="clear" w:color="auto" w:fill="FFFFFF"/>
        </w:rPr>
        <w:t>Somarriba</w:t>
      </w:r>
      <w:proofErr w:type="spellEnd"/>
      <w:r w:rsidRPr="00686CC6">
        <w:rPr>
          <w:color w:val="222222"/>
          <w:shd w:val="clear" w:color="auto" w:fill="FFFFFF"/>
        </w:rPr>
        <w:t xml:space="preserve">, G. A., Schaefer, N. N., </w:t>
      </w:r>
      <w:proofErr w:type="spellStart"/>
      <w:r w:rsidRPr="00686CC6">
        <w:rPr>
          <w:color w:val="222222"/>
          <w:shd w:val="clear" w:color="auto" w:fill="FFFFFF"/>
        </w:rPr>
        <w:t>Chaparro</w:t>
      </w:r>
      <w:proofErr w:type="spellEnd"/>
      <w:r w:rsidRPr="00686CC6">
        <w:rPr>
          <w:color w:val="222222"/>
          <w:shd w:val="clear" w:color="auto" w:fill="FFFFFF"/>
        </w:rPr>
        <w:t xml:space="preserve">, A. I., Scott, G. B., </w:t>
      </w:r>
      <w:proofErr w:type="spellStart"/>
      <w:r w:rsidRPr="00686CC6">
        <w:rPr>
          <w:color w:val="222222"/>
          <w:shd w:val="clear" w:color="auto" w:fill="FFFFFF"/>
        </w:rPr>
        <w:t>Mitnik</w:t>
      </w:r>
      <w:proofErr w:type="spellEnd"/>
      <w:r w:rsidRPr="00686CC6">
        <w:rPr>
          <w:color w:val="222222"/>
          <w:shd w:val="clear" w:color="auto" w:fill="FFFFFF"/>
        </w:rPr>
        <w:t>, G. L., ... &amp; Miller, T. L. (2013). Growth and body composition of uninfected children exposed to human immunodeficiency virus: comparison with a contemporary cohort and United States National Standards. </w:t>
      </w:r>
      <w:r w:rsidRPr="00686CC6">
        <w:rPr>
          <w:i/>
          <w:iCs/>
          <w:color w:val="222222"/>
          <w:shd w:val="clear" w:color="auto" w:fill="FFFFFF"/>
        </w:rPr>
        <w:t>The Journal of pediatrics</w:t>
      </w:r>
      <w:r w:rsidRPr="00686CC6">
        <w:rPr>
          <w:color w:val="222222"/>
          <w:shd w:val="clear" w:color="auto" w:fill="FFFFFF"/>
        </w:rPr>
        <w:t>, </w:t>
      </w:r>
      <w:r w:rsidRPr="00686CC6">
        <w:rPr>
          <w:i/>
          <w:iCs/>
          <w:color w:val="222222"/>
          <w:shd w:val="clear" w:color="auto" w:fill="FFFFFF"/>
        </w:rPr>
        <w:t>163</w:t>
      </w:r>
      <w:r w:rsidRPr="00686CC6">
        <w:rPr>
          <w:color w:val="222222"/>
          <w:shd w:val="clear" w:color="auto" w:fill="FFFFFF"/>
        </w:rPr>
        <w:t>(1), 249-254</w:t>
      </w:r>
    </w:p>
    <w:p w:rsidR="0039575E" w:rsidRPr="00686CC6" w:rsidRDefault="0039575E" w:rsidP="0039575E">
      <w:pPr>
        <w:pStyle w:val="Default"/>
        <w:spacing w:line="480" w:lineRule="auto"/>
        <w:ind w:left="720" w:hanging="720"/>
        <w:rPr>
          <w:color w:val="222222"/>
          <w:shd w:val="clear" w:color="auto" w:fill="FFFFFF"/>
        </w:rPr>
      </w:pPr>
      <w:r w:rsidRPr="00686CC6">
        <w:rPr>
          <w:color w:val="222222"/>
          <w:shd w:val="clear" w:color="auto" w:fill="FFFFFF"/>
        </w:rPr>
        <w:t>Scott, D. M. (2015). </w:t>
      </w:r>
      <w:r w:rsidRPr="00686CC6">
        <w:rPr>
          <w:i/>
          <w:iCs/>
          <w:color w:val="222222"/>
          <w:shd w:val="clear" w:color="auto" w:fill="FFFFFF"/>
        </w:rPr>
        <w:t>The new rules of marketing and PR: How to use social media, online video, mobile applications, blogs, news releases, and viral marketing to reach buyers directly</w:t>
      </w:r>
      <w:r w:rsidRPr="00686CC6">
        <w:rPr>
          <w:color w:val="222222"/>
          <w:shd w:val="clear" w:color="auto" w:fill="FFFFFF"/>
        </w:rPr>
        <w:t>. John Wiley &amp; Sons.</w:t>
      </w:r>
    </w:p>
    <w:p w:rsidR="0039575E" w:rsidRPr="00686CC6" w:rsidRDefault="0039575E" w:rsidP="0039575E">
      <w:pPr>
        <w:pStyle w:val="Default"/>
        <w:spacing w:line="480" w:lineRule="auto"/>
        <w:ind w:left="720" w:hanging="720"/>
        <w:rPr>
          <w:rFonts w:eastAsia="Times New Roman"/>
          <w:color w:val="777777"/>
        </w:rPr>
      </w:pPr>
      <w:r w:rsidRPr="00686CC6">
        <w:rPr>
          <w:color w:val="222222"/>
          <w:shd w:val="clear" w:color="auto" w:fill="FFFFFF"/>
        </w:rPr>
        <w:t>Whiting, A., &amp; Williams, D. (2013). Why people use social media: a uses and gratifications approach. Qualitative Market Research: An International Journal, 16(4), 362-369.</w:t>
      </w:r>
    </w:p>
    <w:sectPr w:rsidR="0039575E" w:rsidRPr="00686CC6" w:rsidSect="00530A99">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569" w:rsidRDefault="00B97569" w:rsidP="00530A99">
      <w:pPr>
        <w:spacing w:line="240" w:lineRule="auto"/>
      </w:pPr>
      <w:r>
        <w:separator/>
      </w:r>
    </w:p>
  </w:endnote>
  <w:endnote w:type="continuationSeparator" w:id="0">
    <w:p w:rsidR="00B97569" w:rsidRDefault="00B97569" w:rsidP="00530A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569" w:rsidRDefault="00B97569" w:rsidP="00530A99">
      <w:pPr>
        <w:spacing w:line="240" w:lineRule="auto"/>
      </w:pPr>
      <w:r>
        <w:separator/>
      </w:r>
    </w:p>
  </w:footnote>
  <w:footnote w:type="continuationSeparator" w:id="0">
    <w:p w:rsidR="00B97569" w:rsidRDefault="00B97569" w:rsidP="00530A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40479"/>
      <w:docPartObj>
        <w:docPartGallery w:val="Page Numbers (Top of Page)"/>
        <w:docPartUnique/>
      </w:docPartObj>
    </w:sdtPr>
    <w:sdtEndPr>
      <w:rPr>
        <w:noProof/>
      </w:rPr>
    </w:sdtEndPr>
    <w:sdtContent>
      <w:p w:rsidR="00DC58FF" w:rsidRDefault="00DC58FF">
        <w:pPr>
          <w:pStyle w:val="Header"/>
          <w:jc w:val="right"/>
        </w:pPr>
        <w:r>
          <w:fldChar w:fldCharType="begin"/>
        </w:r>
        <w:r>
          <w:instrText xml:space="preserve"> PAGE   \* MERGEFORMAT </w:instrText>
        </w:r>
        <w:r>
          <w:fldChar w:fldCharType="separate"/>
        </w:r>
        <w:r w:rsidR="00266960">
          <w:rPr>
            <w:noProof/>
          </w:rPr>
          <w:t>15</w:t>
        </w:r>
        <w:r>
          <w:rPr>
            <w:noProof/>
          </w:rPr>
          <w:fldChar w:fldCharType="end"/>
        </w:r>
      </w:p>
    </w:sdtContent>
  </w:sdt>
  <w:p w:rsidR="00DC58FF" w:rsidRDefault="00DC58FF">
    <w:pPr>
      <w:pStyle w:val="Header"/>
    </w:pPr>
    <w:r>
      <w:t>VIRAL GROWTH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C58FF" w:rsidRDefault="00DC58FF" w:rsidP="00530A99">
    <w:r>
      <w:t>Running Head: VIRAL GROWTH</w:t>
    </w:r>
    <w:r>
      <w:tab/>
      <w:t xml:space="preserve">   </w:t>
    </w:r>
    <w:r>
      <w:tab/>
    </w:r>
    <w:r>
      <w:tab/>
    </w:r>
    <w:r>
      <w:tab/>
    </w:r>
    <w: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A99"/>
    <w:rsid w:val="000023E2"/>
    <w:rsid w:val="000134CC"/>
    <w:rsid w:val="0003338E"/>
    <w:rsid w:val="000357EA"/>
    <w:rsid w:val="00057298"/>
    <w:rsid w:val="000741C9"/>
    <w:rsid w:val="001107E9"/>
    <w:rsid w:val="001272EC"/>
    <w:rsid w:val="00130C66"/>
    <w:rsid w:val="00140C0E"/>
    <w:rsid w:val="001A6319"/>
    <w:rsid w:val="001E2CA6"/>
    <w:rsid w:val="00202BAA"/>
    <w:rsid w:val="00262A74"/>
    <w:rsid w:val="0026392F"/>
    <w:rsid w:val="00266960"/>
    <w:rsid w:val="00275ECA"/>
    <w:rsid w:val="00293A3E"/>
    <w:rsid w:val="002C0AD1"/>
    <w:rsid w:val="00306C36"/>
    <w:rsid w:val="003643FD"/>
    <w:rsid w:val="00376DFE"/>
    <w:rsid w:val="0039575E"/>
    <w:rsid w:val="0042129A"/>
    <w:rsid w:val="004D0A51"/>
    <w:rsid w:val="004F28C1"/>
    <w:rsid w:val="00530A99"/>
    <w:rsid w:val="0056139D"/>
    <w:rsid w:val="005D5AF2"/>
    <w:rsid w:val="005F0B56"/>
    <w:rsid w:val="00600FA2"/>
    <w:rsid w:val="00686CC6"/>
    <w:rsid w:val="007211A2"/>
    <w:rsid w:val="00750F49"/>
    <w:rsid w:val="00792993"/>
    <w:rsid w:val="007A537B"/>
    <w:rsid w:val="008B1FBE"/>
    <w:rsid w:val="00A173D2"/>
    <w:rsid w:val="00A21C25"/>
    <w:rsid w:val="00A77E2D"/>
    <w:rsid w:val="00A81508"/>
    <w:rsid w:val="00AA4916"/>
    <w:rsid w:val="00AB1FA1"/>
    <w:rsid w:val="00AC0CA1"/>
    <w:rsid w:val="00B65CF6"/>
    <w:rsid w:val="00B97569"/>
    <w:rsid w:val="00C016A9"/>
    <w:rsid w:val="00C24DB6"/>
    <w:rsid w:val="00C30562"/>
    <w:rsid w:val="00C34DBD"/>
    <w:rsid w:val="00C75FF2"/>
    <w:rsid w:val="00CA153D"/>
    <w:rsid w:val="00D21834"/>
    <w:rsid w:val="00D264A2"/>
    <w:rsid w:val="00D91D90"/>
    <w:rsid w:val="00DC58FF"/>
    <w:rsid w:val="00DE522A"/>
    <w:rsid w:val="00DF03C0"/>
    <w:rsid w:val="00DF7A1E"/>
    <w:rsid w:val="00E12E93"/>
    <w:rsid w:val="00FF3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C8A3227-D286-4CB0-9837-929BC134C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A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A99"/>
    <w:pPr>
      <w:tabs>
        <w:tab w:val="center" w:pos="4680"/>
        <w:tab w:val="right" w:pos="9360"/>
      </w:tabs>
      <w:spacing w:line="240" w:lineRule="auto"/>
    </w:pPr>
  </w:style>
  <w:style w:type="character" w:customStyle="1" w:styleId="HeaderChar">
    <w:name w:val="Header Char"/>
    <w:basedOn w:val="DefaultParagraphFont"/>
    <w:link w:val="Header"/>
    <w:uiPriority w:val="99"/>
    <w:rsid w:val="00530A99"/>
  </w:style>
  <w:style w:type="paragraph" w:styleId="Footer">
    <w:name w:val="footer"/>
    <w:basedOn w:val="Normal"/>
    <w:link w:val="FooterChar"/>
    <w:uiPriority w:val="99"/>
    <w:unhideWhenUsed/>
    <w:rsid w:val="00530A99"/>
    <w:pPr>
      <w:tabs>
        <w:tab w:val="center" w:pos="4680"/>
        <w:tab w:val="right" w:pos="9360"/>
      </w:tabs>
      <w:spacing w:line="240" w:lineRule="auto"/>
    </w:pPr>
  </w:style>
  <w:style w:type="character" w:customStyle="1" w:styleId="FooterChar">
    <w:name w:val="Footer Char"/>
    <w:basedOn w:val="DefaultParagraphFont"/>
    <w:link w:val="Footer"/>
    <w:uiPriority w:val="99"/>
    <w:rsid w:val="00530A99"/>
  </w:style>
  <w:style w:type="paragraph" w:customStyle="1" w:styleId="Default">
    <w:name w:val="Default"/>
    <w:rsid w:val="005D5AF2"/>
    <w:pPr>
      <w:autoSpaceDE w:val="0"/>
      <w:autoSpaceDN w:val="0"/>
      <w:adjustRightInd w:val="0"/>
      <w:spacing w:line="240" w:lineRule="auto"/>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916660">
      <w:bodyDiv w:val="1"/>
      <w:marLeft w:val="0"/>
      <w:marRight w:val="0"/>
      <w:marTop w:val="0"/>
      <w:marBottom w:val="0"/>
      <w:divBdr>
        <w:top w:val="none" w:sz="0" w:space="0" w:color="auto"/>
        <w:left w:val="none" w:sz="0" w:space="0" w:color="auto"/>
        <w:bottom w:val="none" w:sz="0" w:space="0" w:color="auto"/>
        <w:right w:val="none" w:sz="0" w:space="0" w:color="auto"/>
      </w:divBdr>
    </w:div>
    <w:div w:id="737245051">
      <w:bodyDiv w:val="1"/>
      <w:marLeft w:val="0"/>
      <w:marRight w:val="0"/>
      <w:marTop w:val="0"/>
      <w:marBottom w:val="0"/>
      <w:divBdr>
        <w:top w:val="none" w:sz="0" w:space="0" w:color="auto"/>
        <w:left w:val="none" w:sz="0" w:space="0" w:color="auto"/>
        <w:bottom w:val="none" w:sz="0" w:space="0" w:color="auto"/>
        <w:right w:val="none" w:sz="0" w:space="0" w:color="auto"/>
      </w:divBdr>
    </w:div>
    <w:div w:id="1443916041">
      <w:bodyDiv w:val="1"/>
      <w:marLeft w:val="0"/>
      <w:marRight w:val="0"/>
      <w:marTop w:val="0"/>
      <w:marBottom w:val="0"/>
      <w:divBdr>
        <w:top w:val="none" w:sz="0" w:space="0" w:color="auto"/>
        <w:left w:val="none" w:sz="0" w:space="0" w:color="auto"/>
        <w:bottom w:val="none" w:sz="0" w:space="0" w:color="auto"/>
        <w:right w:val="none" w:sz="0" w:space="0" w:color="auto"/>
      </w:divBdr>
      <w:divsChild>
        <w:div w:id="1183088145">
          <w:marLeft w:val="0"/>
          <w:marRight w:val="0"/>
          <w:marTop w:val="0"/>
          <w:marBottom w:val="0"/>
          <w:divBdr>
            <w:top w:val="none" w:sz="0" w:space="0" w:color="auto"/>
            <w:left w:val="none" w:sz="0" w:space="0" w:color="auto"/>
            <w:bottom w:val="none" w:sz="0" w:space="0" w:color="auto"/>
            <w:right w:val="none" w:sz="0" w:space="0" w:color="auto"/>
          </w:divBdr>
        </w:div>
      </w:divsChild>
    </w:div>
    <w:div w:id="1726567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6.xml"/><Relationship Id="rId3" Type="http://schemas.openxmlformats.org/officeDocument/2006/relationships/webSettings" Target="webSettings.xml"/><Relationship Id="rId7" Type="http://schemas.openxmlformats.org/officeDocument/2006/relationships/chart" Target="charts/chart1.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hart" Target="charts/chart4.xm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chart" Target="charts/chart3.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Comparioson of HIV and </a:t>
            </a:r>
            <a:r>
              <a:rPr lang="en-US" sz="1400" b="0" i="0" u="none" strike="noStrike" baseline="0">
                <a:effectLst/>
              </a:rPr>
              <a:t>Number of CD4 cells in the body</a:t>
            </a:r>
            <a:r>
              <a:rPr lang="en-US"/>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Number of virus particles (Viral load)</c:v>
                </c:pt>
              </c:strCache>
            </c:strRef>
          </c:tx>
          <c:spPr>
            <a:ln w="28575" cap="rnd">
              <a:solidFill>
                <a:schemeClr val="accent1"/>
              </a:solidFill>
              <a:round/>
            </a:ln>
            <a:effectLst/>
          </c:spPr>
          <c:marker>
            <c:symbol val="none"/>
          </c:marker>
          <c:val>
            <c:numRef>
              <c:f>Sheet1!$B$2:$B$18</c:f>
              <c:numCache>
                <c:formatCode>General</c:formatCode>
                <c:ptCount val="17"/>
                <c:pt idx="1">
                  <c:v>1</c:v>
                </c:pt>
                <c:pt idx="2">
                  <c:v>50</c:v>
                </c:pt>
                <c:pt idx="3">
                  <c:v>100</c:v>
                </c:pt>
                <c:pt idx="4">
                  <c:v>250</c:v>
                </c:pt>
                <c:pt idx="5">
                  <c:v>800</c:v>
                </c:pt>
                <c:pt idx="6">
                  <c:v>1950</c:v>
                </c:pt>
                <c:pt idx="7">
                  <c:v>4980</c:v>
                </c:pt>
                <c:pt idx="8">
                  <c:v>10000</c:v>
                </c:pt>
                <c:pt idx="9">
                  <c:v>20000</c:v>
                </c:pt>
                <c:pt idx="10">
                  <c:v>37000</c:v>
                </c:pt>
                <c:pt idx="11">
                  <c:v>32000</c:v>
                </c:pt>
                <c:pt idx="12">
                  <c:v>30000</c:v>
                </c:pt>
                <c:pt idx="13">
                  <c:v>20000</c:v>
                </c:pt>
                <c:pt idx="14">
                  <c:v>15000</c:v>
                </c:pt>
                <c:pt idx="15">
                  <c:v>14500</c:v>
                </c:pt>
                <c:pt idx="16">
                  <c:v>14950</c:v>
                </c:pt>
              </c:numCache>
            </c:numRef>
          </c:val>
          <c:smooth val="0"/>
        </c:ser>
        <c:ser>
          <c:idx val="1"/>
          <c:order val="1"/>
          <c:tx>
            <c:strRef>
              <c:f>Sheet1!$C$1</c:f>
              <c:strCache>
                <c:ptCount val="1"/>
                <c:pt idx="0">
                  <c:v>Number of CD4 cells in the body</c:v>
                </c:pt>
              </c:strCache>
            </c:strRef>
          </c:tx>
          <c:spPr>
            <a:ln w="28575" cap="rnd">
              <a:solidFill>
                <a:schemeClr val="accent2"/>
              </a:solidFill>
              <a:round/>
            </a:ln>
            <a:effectLst/>
          </c:spPr>
          <c:marker>
            <c:symbol val="none"/>
          </c:marker>
          <c:val>
            <c:numRef>
              <c:f>Sheet1!$C$2:$C$18</c:f>
              <c:numCache>
                <c:formatCode>General</c:formatCode>
                <c:ptCount val="17"/>
                <c:pt idx="1">
                  <c:v>1200</c:v>
                </c:pt>
                <c:pt idx="2">
                  <c:v>1700</c:v>
                </c:pt>
                <c:pt idx="3">
                  <c:v>1420</c:v>
                </c:pt>
                <c:pt idx="4">
                  <c:v>1300</c:v>
                </c:pt>
                <c:pt idx="5">
                  <c:v>1240</c:v>
                </c:pt>
                <c:pt idx="6">
                  <c:v>1009</c:v>
                </c:pt>
                <c:pt idx="7">
                  <c:v>911</c:v>
                </c:pt>
                <c:pt idx="8">
                  <c:v>850</c:v>
                </c:pt>
                <c:pt idx="9">
                  <c:v>800</c:v>
                </c:pt>
                <c:pt idx="10">
                  <c:v>750</c:v>
                </c:pt>
                <c:pt idx="11">
                  <c:v>700</c:v>
                </c:pt>
                <c:pt idx="12">
                  <c:v>600</c:v>
                </c:pt>
                <c:pt idx="13">
                  <c:v>500</c:v>
                </c:pt>
                <c:pt idx="14">
                  <c:v>550</c:v>
                </c:pt>
                <c:pt idx="15">
                  <c:v>580</c:v>
                </c:pt>
                <c:pt idx="16">
                  <c:v>600</c:v>
                </c:pt>
              </c:numCache>
            </c:numRef>
          </c:val>
          <c:smooth val="0"/>
        </c:ser>
        <c:dLbls>
          <c:showLegendKey val="0"/>
          <c:showVal val="0"/>
          <c:showCatName val="0"/>
          <c:showSerName val="0"/>
          <c:showPercent val="0"/>
          <c:showBubbleSize val="0"/>
        </c:dLbls>
        <c:smooth val="0"/>
        <c:axId val="220612160"/>
        <c:axId val="220613336"/>
      </c:lineChart>
      <c:catAx>
        <c:axId val="2206121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13336"/>
        <c:crosses val="autoZero"/>
        <c:auto val="1"/>
        <c:lblAlgn val="ctr"/>
        <c:lblOffset val="100"/>
        <c:noMultiLvlLbl val="0"/>
      </c:catAx>
      <c:valAx>
        <c:axId val="2206133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1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Number of CD4 cells in the body in HIV infection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Sheet1!$A$1</c:f>
              <c:strCache>
                <c:ptCount val="1"/>
                <c:pt idx="0">
                  <c:v>Day</c:v>
                </c:pt>
              </c:strCache>
            </c:strRef>
          </c:tx>
          <c:spPr>
            <a:ln w="28575" cap="rnd">
              <a:solidFill>
                <a:schemeClr val="accent1"/>
              </a:solidFill>
              <a:round/>
            </a:ln>
            <a:effectLst/>
          </c:spPr>
          <c:marker>
            <c:symbol val="none"/>
          </c:marker>
          <c:val>
            <c:numRef>
              <c:f>Sheet1!$A$2:$A$18</c:f>
              <c:numCache>
                <c:formatCode>General</c:formatCode>
                <c:ptCount val="17"/>
                <c:pt idx="1">
                  <c:v>0</c:v>
                </c:pt>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numCache>
            </c:numRef>
          </c:val>
          <c:smooth val="0"/>
        </c:ser>
        <c:ser>
          <c:idx val="1"/>
          <c:order val="1"/>
          <c:tx>
            <c:strRef>
              <c:f>Sheet1!$C$1</c:f>
              <c:strCache>
                <c:ptCount val="1"/>
                <c:pt idx="0">
                  <c:v>Number of CD4 cells in the body</c:v>
                </c:pt>
              </c:strCache>
            </c:strRef>
          </c:tx>
          <c:spPr>
            <a:ln w="28575" cap="rnd">
              <a:solidFill>
                <a:schemeClr val="accent2"/>
              </a:solidFill>
              <a:round/>
            </a:ln>
            <a:effectLst/>
          </c:spPr>
          <c:marker>
            <c:symbol val="none"/>
          </c:marker>
          <c:val>
            <c:numRef>
              <c:f>Sheet1!$C$2:$C$18</c:f>
              <c:numCache>
                <c:formatCode>General</c:formatCode>
                <c:ptCount val="17"/>
                <c:pt idx="1">
                  <c:v>1200</c:v>
                </c:pt>
                <c:pt idx="2">
                  <c:v>1700</c:v>
                </c:pt>
                <c:pt idx="3">
                  <c:v>1420</c:v>
                </c:pt>
                <c:pt idx="4">
                  <c:v>1300</c:v>
                </c:pt>
                <c:pt idx="5">
                  <c:v>1240</c:v>
                </c:pt>
                <c:pt idx="6">
                  <c:v>1009</c:v>
                </c:pt>
                <c:pt idx="7">
                  <c:v>911</c:v>
                </c:pt>
                <c:pt idx="8">
                  <c:v>850</c:v>
                </c:pt>
                <c:pt idx="9">
                  <c:v>800</c:v>
                </c:pt>
                <c:pt idx="10">
                  <c:v>750</c:v>
                </c:pt>
                <c:pt idx="11">
                  <c:v>700</c:v>
                </c:pt>
                <c:pt idx="12">
                  <c:v>600</c:v>
                </c:pt>
                <c:pt idx="13">
                  <c:v>500</c:v>
                </c:pt>
                <c:pt idx="14">
                  <c:v>550</c:v>
                </c:pt>
                <c:pt idx="15">
                  <c:v>580</c:v>
                </c:pt>
                <c:pt idx="16">
                  <c:v>600</c:v>
                </c:pt>
              </c:numCache>
            </c:numRef>
          </c:val>
          <c:smooth val="0"/>
        </c:ser>
        <c:dLbls>
          <c:showLegendKey val="0"/>
          <c:showVal val="0"/>
          <c:showCatName val="0"/>
          <c:showSerName val="0"/>
          <c:showPercent val="0"/>
          <c:showBubbleSize val="0"/>
        </c:dLbls>
        <c:smooth val="0"/>
        <c:axId val="220610984"/>
        <c:axId val="220612552"/>
      </c:lineChart>
      <c:catAx>
        <c:axId val="2206109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12552"/>
        <c:crosses val="autoZero"/>
        <c:auto val="1"/>
        <c:lblAlgn val="ctr"/>
        <c:lblOffset val="100"/>
        <c:noMultiLvlLbl val="0"/>
      </c:catAx>
      <c:valAx>
        <c:axId val="220612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6109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HIV Growth</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Sheet1!$A$1</c:f>
              <c:strCache>
                <c:ptCount val="1"/>
                <c:pt idx="0">
                  <c:v>Day</c:v>
                </c:pt>
              </c:strCache>
            </c:strRef>
          </c:tx>
          <c:spPr>
            <a:ln w="28575" cap="rnd">
              <a:solidFill>
                <a:schemeClr val="accent1"/>
              </a:solidFill>
              <a:round/>
            </a:ln>
            <a:effectLst/>
          </c:spPr>
          <c:marker>
            <c:symbol val="none"/>
          </c:marker>
          <c:val>
            <c:numRef>
              <c:f>Sheet1!$A$2:$A$18</c:f>
              <c:numCache>
                <c:formatCode>General</c:formatCode>
                <c:ptCount val="17"/>
                <c:pt idx="1">
                  <c:v>0</c:v>
                </c:pt>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numCache>
            </c:numRef>
          </c:val>
          <c:smooth val="0"/>
        </c:ser>
        <c:ser>
          <c:idx val="1"/>
          <c:order val="1"/>
          <c:tx>
            <c:strRef>
              <c:f>Sheet1!$B$1</c:f>
              <c:strCache>
                <c:ptCount val="1"/>
                <c:pt idx="0">
                  <c:v>Number of virus particles (Viral load)</c:v>
                </c:pt>
              </c:strCache>
            </c:strRef>
          </c:tx>
          <c:spPr>
            <a:ln w="28575" cap="rnd">
              <a:solidFill>
                <a:schemeClr val="accent2"/>
              </a:solidFill>
              <a:round/>
            </a:ln>
            <a:effectLst/>
          </c:spPr>
          <c:marker>
            <c:symbol val="none"/>
          </c:marker>
          <c:val>
            <c:numRef>
              <c:f>Sheet1!$B$2:$B$18</c:f>
              <c:numCache>
                <c:formatCode>General</c:formatCode>
                <c:ptCount val="17"/>
                <c:pt idx="1">
                  <c:v>1</c:v>
                </c:pt>
                <c:pt idx="2">
                  <c:v>50</c:v>
                </c:pt>
                <c:pt idx="3">
                  <c:v>100</c:v>
                </c:pt>
                <c:pt idx="4">
                  <c:v>250</c:v>
                </c:pt>
                <c:pt idx="5">
                  <c:v>800</c:v>
                </c:pt>
                <c:pt idx="6">
                  <c:v>1950</c:v>
                </c:pt>
                <c:pt idx="7">
                  <c:v>4980</c:v>
                </c:pt>
                <c:pt idx="8">
                  <c:v>10000</c:v>
                </c:pt>
                <c:pt idx="9">
                  <c:v>20000</c:v>
                </c:pt>
                <c:pt idx="10">
                  <c:v>37000</c:v>
                </c:pt>
                <c:pt idx="11">
                  <c:v>32000</c:v>
                </c:pt>
                <c:pt idx="12">
                  <c:v>30000</c:v>
                </c:pt>
                <c:pt idx="13">
                  <c:v>20000</c:v>
                </c:pt>
                <c:pt idx="14">
                  <c:v>15000</c:v>
                </c:pt>
                <c:pt idx="15">
                  <c:v>14500</c:v>
                </c:pt>
                <c:pt idx="16">
                  <c:v>14950</c:v>
                </c:pt>
              </c:numCache>
            </c:numRef>
          </c:val>
          <c:smooth val="0"/>
        </c:ser>
        <c:dLbls>
          <c:showLegendKey val="0"/>
          <c:showVal val="0"/>
          <c:showCatName val="0"/>
          <c:showSerName val="0"/>
          <c:showPercent val="0"/>
          <c:showBubbleSize val="0"/>
        </c:dLbls>
        <c:smooth val="0"/>
        <c:axId val="335581352"/>
        <c:axId val="335580568"/>
      </c:lineChart>
      <c:catAx>
        <c:axId val="3355813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80568"/>
        <c:crosses val="autoZero"/>
        <c:auto val="1"/>
        <c:lblAlgn val="ctr"/>
        <c:lblOffset val="100"/>
        <c:noMultiLvlLbl val="0"/>
      </c:catAx>
      <c:valAx>
        <c:axId val="3355805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81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Change</a:t>
            </a:r>
            <a:r>
              <a:rPr lang="en-US" baseline="0"/>
              <a:t> in HIV viral load due to adaptive immunty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Number of virus particles (Viral load)</c:v>
                </c:pt>
              </c:strCache>
            </c:strRef>
          </c:tx>
          <c:spPr>
            <a:ln w="28575" cap="rnd">
              <a:solidFill>
                <a:schemeClr val="accent1"/>
              </a:solidFill>
              <a:round/>
            </a:ln>
            <a:effectLst/>
          </c:spPr>
          <c:marker>
            <c:symbol val="none"/>
          </c:marker>
          <c:val>
            <c:numRef>
              <c:f>Sheet1!$B$2:$B$23</c:f>
              <c:numCache>
                <c:formatCode>General</c:formatCode>
                <c:ptCount val="22"/>
                <c:pt idx="1">
                  <c:v>1</c:v>
                </c:pt>
                <c:pt idx="2">
                  <c:v>50</c:v>
                </c:pt>
                <c:pt idx="3">
                  <c:v>100</c:v>
                </c:pt>
                <c:pt idx="4">
                  <c:v>250</c:v>
                </c:pt>
                <c:pt idx="5">
                  <c:v>800</c:v>
                </c:pt>
                <c:pt idx="6">
                  <c:v>1950</c:v>
                </c:pt>
                <c:pt idx="7">
                  <c:v>4980</c:v>
                </c:pt>
                <c:pt idx="8">
                  <c:v>10000</c:v>
                </c:pt>
                <c:pt idx="9">
                  <c:v>20000</c:v>
                </c:pt>
                <c:pt idx="10">
                  <c:v>37000</c:v>
                </c:pt>
                <c:pt idx="11">
                  <c:v>32000</c:v>
                </c:pt>
                <c:pt idx="12">
                  <c:v>30000</c:v>
                </c:pt>
                <c:pt idx="13">
                  <c:v>20000</c:v>
                </c:pt>
                <c:pt idx="14">
                  <c:v>15000</c:v>
                </c:pt>
                <c:pt idx="15">
                  <c:v>14500</c:v>
                </c:pt>
                <c:pt idx="16">
                  <c:v>14950</c:v>
                </c:pt>
                <c:pt idx="17">
                  <c:v>9800</c:v>
                </c:pt>
                <c:pt idx="18">
                  <c:v>5000</c:v>
                </c:pt>
                <c:pt idx="19">
                  <c:v>1800</c:v>
                </c:pt>
                <c:pt idx="20">
                  <c:v>30</c:v>
                </c:pt>
                <c:pt idx="21">
                  <c:v>20</c:v>
                </c:pt>
              </c:numCache>
            </c:numRef>
          </c:val>
          <c:smooth val="0"/>
        </c:ser>
        <c:ser>
          <c:idx val="1"/>
          <c:order val="1"/>
          <c:tx>
            <c:strRef>
              <c:f>Sheet1!$A$1</c:f>
              <c:strCache>
                <c:ptCount val="1"/>
                <c:pt idx="0">
                  <c:v>Day</c:v>
                </c:pt>
              </c:strCache>
            </c:strRef>
          </c:tx>
          <c:spPr>
            <a:ln w="28575" cap="rnd">
              <a:solidFill>
                <a:schemeClr val="accent2"/>
              </a:solidFill>
              <a:round/>
            </a:ln>
            <a:effectLst/>
          </c:spPr>
          <c:marker>
            <c:symbol val="none"/>
          </c:marker>
          <c:val>
            <c:numRef>
              <c:f>Sheet1!$A$2:$A$23</c:f>
              <c:numCache>
                <c:formatCode>General</c:formatCode>
                <c:ptCount val="22"/>
                <c:pt idx="1">
                  <c:v>0</c:v>
                </c:pt>
                <c:pt idx="2">
                  <c:v>1</c:v>
                </c:pt>
                <c:pt idx="3">
                  <c:v>2</c:v>
                </c:pt>
                <c:pt idx="4">
                  <c:v>3</c:v>
                </c:pt>
                <c:pt idx="5">
                  <c:v>4</c:v>
                </c:pt>
                <c:pt idx="6">
                  <c:v>5</c:v>
                </c:pt>
                <c:pt idx="7">
                  <c:v>6</c:v>
                </c:pt>
                <c:pt idx="8">
                  <c:v>7</c:v>
                </c:pt>
                <c:pt idx="9">
                  <c:v>8</c:v>
                </c:pt>
                <c:pt idx="10">
                  <c:v>9</c:v>
                </c:pt>
                <c:pt idx="11">
                  <c:v>10</c:v>
                </c:pt>
                <c:pt idx="12">
                  <c:v>11</c:v>
                </c:pt>
                <c:pt idx="13">
                  <c:v>12</c:v>
                </c:pt>
                <c:pt idx="14">
                  <c:v>13</c:v>
                </c:pt>
                <c:pt idx="15">
                  <c:v>14</c:v>
                </c:pt>
                <c:pt idx="16">
                  <c:v>15</c:v>
                </c:pt>
                <c:pt idx="17">
                  <c:v>16</c:v>
                </c:pt>
                <c:pt idx="18">
                  <c:v>18</c:v>
                </c:pt>
                <c:pt idx="19">
                  <c:v>19</c:v>
                </c:pt>
                <c:pt idx="20">
                  <c:v>20</c:v>
                </c:pt>
                <c:pt idx="21">
                  <c:v>21</c:v>
                </c:pt>
              </c:numCache>
            </c:numRef>
          </c:val>
          <c:smooth val="0"/>
        </c:ser>
        <c:dLbls>
          <c:showLegendKey val="0"/>
          <c:showVal val="0"/>
          <c:showCatName val="0"/>
          <c:showSerName val="0"/>
          <c:showPercent val="0"/>
          <c:showBubbleSize val="0"/>
        </c:dLbls>
        <c:smooth val="0"/>
        <c:axId val="335582136"/>
        <c:axId val="335582920"/>
      </c:lineChart>
      <c:catAx>
        <c:axId val="3355821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82920"/>
        <c:crosses val="autoZero"/>
        <c:auto val="1"/>
        <c:lblAlgn val="ctr"/>
        <c:lblOffset val="100"/>
        <c:noMultiLvlLbl val="0"/>
      </c:catAx>
      <c:valAx>
        <c:axId val="335582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82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Unpopuler video views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c:f>
              <c:strCache>
                <c:ptCount val="1"/>
                <c:pt idx="0">
                  <c:v>Day</c:v>
                </c:pt>
              </c:strCache>
            </c:strRef>
          </c:tx>
          <c:spPr>
            <a:ln w="28575" cap="rnd">
              <a:solidFill>
                <a:schemeClr val="accent1"/>
              </a:solidFill>
              <a:round/>
            </a:ln>
            <a:effectLst/>
          </c:spPr>
          <c:marker>
            <c:symbol val="none"/>
          </c:marker>
          <c:val>
            <c:numRef>
              <c:f>Sheet2!$A$2:$A$32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val>
          <c:smooth val="0"/>
        </c:ser>
        <c:ser>
          <c:idx val="1"/>
          <c:order val="1"/>
          <c:tx>
            <c:strRef>
              <c:f>Sheet2!$B$1</c:f>
              <c:strCache>
                <c:ptCount val="1"/>
                <c:pt idx="0">
                  <c:v>Unpopuler  of views</c:v>
                </c:pt>
              </c:strCache>
            </c:strRef>
          </c:tx>
          <c:spPr>
            <a:ln w="28575" cap="rnd">
              <a:solidFill>
                <a:schemeClr val="accent2"/>
              </a:solidFill>
              <a:round/>
            </a:ln>
            <a:effectLst/>
          </c:spPr>
          <c:marker>
            <c:symbol val="none"/>
          </c:marker>
          <c:val>
            <c:numRef>
              <c:f>Sheet2!$B$2:$B$32</c:f>
              <c:numCache>
                <c:formatCode>General</c:formatCode>
                <c:ptCount val="31"/>
                <c:pt idx="0">
                  <c:v>2000</c:v>
                </c:pt>
                <c:pt idx="1">
                  <c:v>1900</c:v>
                </c:pt>
                <c:pt idx="2">
                  <c:v>1805</c:v>
                </c:pt>
                <c:pt idx="3">
                  <c:v>1714</c:v>
                </c:pt>
                <c:pt idx="4">
                  <c:v>1629</c:v>
                </c:pt>
                <c:pt idx="5">
                  <c:v>1547</c:v>
                </c:pt>
                <c:pt idx="6">
                  <c:v>1470</c:v>
                </c:pt>
                <c:pt idx="7">
                  <c:v>1396</c:v>
                </c:pt>
                <c:pt idx="8">
                  <c:v>1326</c:v>
                </c:pt>
                <c:pt idx="9">
                  <c:v>1260</c:v>
                </c:pt>
                <c:pt idx="10">
                  <c:v>1197</c:v>
                </c:pt>
                <c:pt idx="11">
                  <c:v>1137</c:v>
                </c:pt>
                <c:pt idx="12">
                  <c:v>1080</c:v>
                </c:pt>
                <c:pt idx="13">
                  <c:v>1026</c:v>
                </c:pt>
                <c:pt idx="14">
                  <c:v>975</c:v>
                </c:pt>
                <c:pt idx="15">
                  <c:v>926</c:v>
                </c:pt>
                <c:pt idx="16">
                  <c:v>880</c:v>
                </c:pt>
                <c:pt idx="17">
                  <c:v>836</c:v>
                </c:pt>
                <c:pt idx="18">
                  <c:v>794</c:v>
                </c:pt>
                <c:pt idx="19">
                  <c:v>754</c:v>
                </c:pt>
                <c:pt idx="20">
                  <c:v>716</c:v>
                </c:pt>
                <c:pt idx="21">
                  <c:v>681</c:v>
                </c:pt>
                <c:pt idx="22">
                  <c:v>647</c:v>
                </c:pt>
                <c:pt idx="23">
                  <c:v>614</c:v>
                </c:pt>
                <c:pt idx="24">
                  <c:v>583</c:v>
                </c:pt>
                <c:pt idx="25">
                  <c:v>554</c:v>
                </c:pt>
                <c:pt idx="26">
                  <c:v>527</c:v>
                </c:pt>
                <c:pt idx="27">
                  <c:v>500</c:v>
                </c:pt>
                <c:pt idx="28">
                  <c:v>475</c:v>
                </c:pt>
                <c:pt idx="29">
                  <c:v>451</c:v>
                </c:pt>
                <c:pt idx="30">
                  <c:v>429</c:v>
                </c:pt>
              </c:numCache>
            </c:numRef>
          </c:val>
          <c:smooth val="0"/>
        </c:ser>
        <c:dLbls>
          <c:showLegendKey val="0"/>
          <c:showVal val="0"/>
          <c:showCatName val="0"/>
          <c:showSerName val="0"/>
          <c:showPercent val="0"/>
          <c:showBubbleSize val="0"/>
        </c:dLbls>
        <c:smooth val="0"/>
        <c:axId val="335580960"/>
        <c:axId val="335583312"/>
      </c:lineChart>
      <c:catAx>
        <c:axId val="3355809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83312"/>
        <c:crosses val="autoZero"/>
        <c:auto val="1"/>
        <c:lblAlgn val="ctr"/>
        <c:lblOffset val="100"/>
        <c:noMultiLvlLbl val="0"/>
      </c:catAx>
      <c:valAx>
        <c:axId val="335583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5580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 populer video</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Sheet2!$A$1</c:f>
              <c:strCache>
                <c:ptCount val="1"/>
                <c:pt idx="0">
                  <c:v>Day</c:v>
                </c:pt>
              </c:strCache>
            </c:strRef>
          </c:tx>
          <c:spPr>
            <a:ln w="28575" cap="rnd">
              <a:solidFill>
                <a:schemeClr val="accent1"/>
              </a:solidFill>
              <a:round/>
            </a:ln>
            <a:effectLst/>
          </c:spPr>
          <c:marker>
            <c:symbol val="none"/>
          </c:marker>
          <c:val>
            <c:numRef>
              <c:f>Sheet2!$A$2:$A$32</c:f>
              <c:numCache>
                <c:formatCode>General</c:formatCode>
                <c:ptCount val="31"/>
                <c:pt idx="0">
                  <c:v>0</c:v>
                </c:pt>
                <c:pt idx="1">
                  <c:v>1</c:v>
                </c:pt>
                <c:pt idx="2">
                  <c:v>2</c:v>
                </c:pt>
                <c:pt idx="3">
                  <c:v>3</c:v>
                </c:pt>
                <c:pt idx="4">
                  <c:v>4</c:v>
                </c:pt>
                <c:pt idx="5">
                  <c:v>5</c:v>
                </c:pt>
                <c:pt idx="6">
                  <c:v>6</c:v>
                </c:pt>
                <c:pt idx="7">
                  <c:v>7</c:v>
                </c:pt>
                <c:pt idx="8">
                  <c:v>8</c:v>
                </c:pt>
                <c:pt idx="9">
                  <c:v>9</c:v>
                </c:pt>
                <c:pt idx="10">
                  <c:v>10</c:v>
                </c:pt>
                <c:pt idx="11">
                  <c:v>11</c:v>
                </c:pt>
                <c:pt idx="12">
                  <c:v>12</c:v>
                </c:pt>
                <c:pt idx="13">
                  <c:v>13</c:v>
                </c:pt>
                <c:pt idx="14">
                  <c:v>14</c:v>
                </c:pt>
                <c:pt idx="15">
                  <c:v>15</c:v>
                </c:pt>
                <c:pt idx="16">
                  <c:v>16</c:v>
                </c:pt>
                <c:pt idx="17">
                  <c:v>17</c:v>
                </c:pt>
                <c:pt idx="18">
                  <c:v>18</c:v>
                </c:pt>
                <c:pt idx="19">
                  <c:v>19</c:v>
                </c:pt>
                <c:pt idx="20">
                  <c:v>20</c:v>
                </c:pt>
                <c:pt idx="21">
                  <c:v>21</c:v>
                </c:pt>
                <c:pt idx="22">
                  <c:v>22</c:v>
                </c:pt>
                <c:pt idx="23">
                  <c:v>23</c:v>
                </c:pt>
                <c:pt idx="24">
                  <c:v>24</c:v>
                </c:pt>
                <c:pt idx="25">
                  <c:v>25</c:v>
                </c:pt>
                <c:pt idx="26">
                  <c:v>26</c:v>
                </c:pt>
                <c:pt idx="27">
                  <c:v>27</c:v>
                </c:pt>
                <c:pt idx="28">
                  <c:v>28</c:v>
                </c:pt>
                <c:pt idx="29">
                  <c:v>29</c:v>
                </c:pt>
                <c:pt idx="30">
                  <c:v>30</c:v>
                </c:pt>
              </c:numCache>
            </c:numRef>
          </c:val>
          <c:smooth val="0"/>
        </c:ser>
        <c:ser>
          <c:idx val="1"/>
          <c:order val="1"/>
          <c:tx>
            <c:strRef>
              <c:f>Sheet2!$C$1</c:f>
              <c:strCache>
                <c:ptCount val="1"/>
                <c:pt idx="0">
                  <c:v>Views on the Populer video </c:v>
                </c:pt>
              </c:strCache>
            </c:strRef>
          </c:tx>
          <c:spPr>
            <a:ln w="28575" cap="rnd">
              <a:solidFill>
                <a:schemeClr val="accent2"/>
              </a:solidFill>
              <a:round/>
            </a:ln>
            <a:effectLst/>
          </c:spPr>
          <c:marker>
            <c:symbol val="none"/>
          </c:marker>
          <c:val>
            <c:numRef>
              <c:f>Sheet2!$C$2:$C$32</c:f>
              <c:numCache>
                <c:formatCode>General</c:formatCode>
                <c:ptCount val="31"/>
                <c:pt idx="0">
                  <c:v>2000</c:v>
                </c:pt>
                <c:pt idx="1">
                  <c:v>2400</c:v>
                </c:pt>
                <c:pt idx="2">
                  <c:v>2880</c:v>
                </c:pt>
                <c:pt idx="3">
                  <c:v>3456</c:v>
                </c:pt>
                <c:pt idx="4">
                  <c:v>4147</c:v>
                </c:pt>
                <c:pt idx="5">
                  <c:v>4976</c:v>
                </c:pt>
                <c:pt idx="6">
                  <c:v>5971</c:v>
                </c:pt>
                <c:pt idx="7">
                  <c:v>7166</c:v>
                </c:pt>
                <c:pt idx="8">
                  <c:v>8599</c:v>
                </c:pt>
                <c:pt idx="9">
                  <c:v>10319</c:v>
                </c:pt>
                <c:pt idx="10">
                  <c:v>12383</c:v>
                </c:pt>
                <c:pt idx="11">
                  <c:v>14860</c:v>
                </c:pt>
                <c:pt idx="12">
                  <c:v>17832</c:v>
                </c:pt>
                <c:pt idx="13">
                  <c:v>21398</c:v>
                </c:pt>
                <c:pt idx="14">
                  <c:v>25678</c:v>
                </c:pt>
                <c:pt idx="15">
                  <c:v>30814</c:v>
                </c:pt>
                <c:pt idx="16">
                  <c:v>36976</c:v>
                </c:pt>
                <c:pt idx="17">
                  <c:v>44372</c:v>
                </c:pt>
                <c:pt idx="18">
                  <c:v>53246</c:v>
                </c:pt>
                <c:pt idx="19">
                  <c:v>63895</c:v>
                </c:pt>
                <c:pt idx="20">
                  <c:v>76675</c:v>
                </c:pt>
                <c:pt idx="21">
                  <c:v>92010</c:v>
                </c:pt>
                <c:pt idx="22">
                  <c:v>110412</c:v>
                </c:pt>
                <c:pt idx="23">
                  <c:v>132494</c:v>
                </c:pt>
                <c:pt idx="24">
                  <c:v>158993</c:v>
                </c:pt>
                <c:pt idx="25">
                  <c:v>190792</c:v>
                </c:pt>
                <c:pt idx="26">
                  <c:v>228950</c:v>
                </c:pt>
                <c:pt idx="27">
                  <c:v>274741</c:v>
                </c:pt>
                <c:pt idx="28">
                  <c:v>329689</c:v>
                </c:pt>
                <c:pt idx="29">
                  <c:v>395627</c:v>
                </c:pt>
                <c:pt idx="30">
                  <c:v>474752</c:v>
                </c:pt>
              </c:numCache>
            </c:numRef>
          </c:val>
          <c:smooth val="0"/>
        </c:ser>
        <c:dLbls>
          <c:showLegendKey val="0"/>
          <c:showVal val="0"/>
          <c:showCatName val="0"/>
          <c:showSerName val="0"/>
          <c:showPercent val="0"/>
          <c:showBubbleSize val="0"/>
        </c:dLbls>
        <c:smooth val="0"/>
        <c:axId val="333413424"/>
        <c:axId val="333411464"/>
      </c:lineChart>
      <c:catAx>
        <c:axId val="3334134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411464"/>
        <c:crosses val="autoZero"/>
        <c:auto val="1"/>
        <c:lblAlgn val="ctr"/>
        <c:lblOffset val="100"/>
        <c:noMultiLvlLbl val="0"/>
      </c:catAx>
      <c:valAx>
        <c:axId val="333411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413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15</Pages>
  <Words>1848</Words>
  <Characters>10540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14</cp:revision>
  <dcterms:created xsi:type="dcterms:W3CDTF">2017-12-16T07:26:00Z</dcterms:created>
  <dcterms:modified xsi:type="dcterms:W3CDTF">2017-12-17T07:24:00Z</dcterms:modified>
</cp:coreProperties>
</file>